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温州医科大学</w:t>
      </w:r>
      <w:r>
        <w:rPr>
          <w:rFonts w:hint="eastAsia" w:ascii="方正小标宋简体" w:hAnsi="仿宋" w:eastAsia="方正小标宋简体" w:cs="仿宋"/>
          <w:sz w:val="44"/>
          <w:szCs w:val="44"/>
          <w:lang w:eastAsia="zh-CN"/>
        </w:rPr>
        <w:t>仁济学院</w:t>
      </w:r>
      <w:r>
        <w:rPr>
          <w:rFonts w:hint="eastAsia" w:ascii="方正小标宋简体" w:hAnsi="仿宋" w:eastAsia="方正小标宋简体" w:cs="仿宋"/>
          <w:sz w:val="44"/>
          <w:szCs w:val="44"/>
        </w:rPr>
        <w:t>202</w:t>
      </w:r>
      <w:r>
        <w:rPr>
          <w:rFonts w:hint="eastAsia" w:ascii="方正小标宋简体" w:hAnsi="仿宋" w:eastAsia="方正小标宋简体" w:cs="仿宋"/>
          <w:sz w:val="44"/>
          <w:szCs w:val="44"/>
          <w:lang w:val="en-US" w:eastAsia="zh-CN"/>
        </w:rPr>
        <w:t>3</w:t>
      </w:r>
      <w:r>
        <w:rPr>
          <w:rFonts w:hint="eastAsia" w:ascii="方正小标宋简体" w:hAnsi="仿宋" w:eastAsia="方正小标宋简体" w:cs="仿宋"/>
          <w:sz w:val="44"/>
          <w:szCs w:val="44"/>
        </w:rPr>
        <w:t>年</w:t>
      </w:r>
    </w:p>
    <w:p>
      <w:pPr>
        <w:widowControl/>
        <w:spacing w:line="560" w:lineRule="exact"/>
        <w:jc w:val="center"/>
        <w:rPr>
          <w:rFonts w:ascii="方正小标宋简体" w:hAnsi="仿宋" w:eastAsia="方正小标宋简体" w:cs="仿宋"/>
          <w:color w:val="000000"/>
          <w:kern w:val="0"/>
          <w:sz w:val="36"/>
          <w:szCs w:val="36"/>
        </w:rPr>
      </w:pPr>
      <w:r>
        <w:rPr>
          <w:rFonts w:hint="eastAsia" w:ascii="方正小标宋简体" w:hAnsi="仿宋" w:eastAsia="方正小标宋简体" w:cs="仿宋"/>
          <w:sz w:val="44"/>
          <w:szCs w:val="44"/>
        </w:rPr>
        <w:t>退役大学生士兵免试专升本招生简章</w:t>
      </w:r>
    </w:p>
    <w:p>
      <w:pPr>
        <w:spacing w:line="560" w:lineRule="exact"/>
      </w:pPr>
    </w:p>
    <w:p>
      <w:pPr>
        <w:pStyle w:val="5"/>
        <w:adjustRightInd w:val="0"/>
        <w:snapToGrid w:val="0"/>
        <w:spacing w:beforeAutospacing="0" w:afterAutospacing="0" w:line="360" w:lineRule="auto"/>
        <w:jc w:val="center"/>
        <w:rPr>
          <w:rFonts w:ascii="仿宋_GB2312" w:hAnsi="楷体" w:eastAsia="仿宋_GB2312"/>
          <w:sz w:val="32"/>
          <w:szCs w:val="28"/>
        </w:rPr>
      </w:pPr>
      <w:r>
        <w:rPr>
          <w:rFonts w:hint="eastAsia" w:ascii="仿宋_GB2312" w:hAnsi="楷体" w:eastAsia="仿宋_GB2312"/>
          <w:b/>
          <w:bCs/>
          <w:sz w:val="32"/>
          <w:szCs w:val="28"/>
        </w:rPr>
        <w:t>第一章 总则</w:t>
      </w:r>
    </w:p>
    <w:p>
      <w:pPr>
        <w:keepNext w:val="0"/>
        <w:keepLines w:val="0"/>
        <w:widowControl/>
        <w:suppressLineNumbers w:val="0"/>
        <w:ind w:firstLine="643" w:firstLineChars="200"/>
        <w:jc w:val="left"/>
        <w:rPr>
          <w:rFonts w:ascii="仿宋_GB2312" w:eastAsia="仿宋_GB2312"/>
          <w:sz w:val="32"/>
          <w:szCs w:val="28"/>
        </w:rPr>
      </w:pPr>
      <w:r>
        <w:rPr>
          <w:rStyle w:val="7"/>
          <w:rFonts w:hint="eastAsia" w:ascii="仿宋_GB2312" w:hAnsi="仿宋_GB2312" w:eastAsia="仿宋_GB2312" w:cs="仿宋_GB2312"/>
          <w:sz w:val="32"/>
          <w:szCs w:val="32"/>
        </w:rPr>
        <w:t>第一条</w:t>
      </w:r>
      <w:r>
        <w:rPr>
          <w:rFonts w:hint="eastAsia" w:ascii="仿宋_GB2312" w:eastAsia="仿宋_GB2312"/>
          <w:sz w:val="32"/>
          <w:szCs w:val="28"/>
        </w:rPr>
        <w:t xml:space="preserve"> 为规范退役大学生士兵免试专升本招生工作（以下简称“免试专升本”），维护考生、学校的合法权益，确保招生工作顺利进行，</w:t>
      </w:r>
      <w:r>
        <w:rPr>
          <w:rFonts w:ascii="仿宋_GB2312" w:hAnsi="仿宋_GB2312" w:eastAsia="仿宋_GB2312" w:cs="仿宋_GB2312"/>
          <w:color w:val="000000"/>
          <w:kern w:val="0"/>
          <w:sz w:val="31"/>
          <w:szCs w:val="31"/>
          <w:lang w:val="en-US" w:eastAsia="zh-CN" w:bidi="ar"/>
        </w:rPr>
        <w:t>根据教育部有关文件精神</w:t>
      </w:r>
      <w:r>
        <w:rPr>
          <w:rFonts w:hint="eastAsia" w:ascii="仿宋_GB2312" w:hAnsi="仿宋_GB2312" w:eastAsia="仿宋_GB2312" w:cs="仿宋_GB2312"/>
          <w:color w:val="000000"/>
          <w:kern w:val="0"/>
          <w:sz w:val="31"/>
          <w:szCs w:val="31"/>
          <w:lang w:val="en-US" w:eastAsia="zh-CN" w:bidi="ar"/>
        </w:rPr>
        <w:t>及</w:t>
      </w:r>
      <w:r>
        <w:rPr>
          <w:rFonts w:hint="eastAsia" w:ascii="仿宋_GB2312" w:eastAsia="仿宋_GB2312"/>
          <w:sz w:val="32"/>
          <w:szCs w:val="28"/>
        </w:rPr>
        <w:t>《浙江省 202</w:t>
      </w:r>
      <w:r>
        <w:rPr>
          <w:rFonts w:hint="eastAsia" w:ascii="仿宋_GB2312" w:eastAsia="仿宋_GB2312"/>
          <w:sz w:val="32"/>
          <w:szCs w:val="28"/>
          <w:lang w:val="en-US" w:eastAsia="zh-CN"/>
        </w:rPr>
        <w:t>3</w:t>
      </w:r>
      <w:r>
        <w:rPr>
          <w:rFonts w:hint="eastAsia" w:ascii="仿宋_GB2312" w:eastAsia="仿宋_GB2312"/>
          <w:sz w:val="32"/>
          <w:szCs w:val="28"/>
        </w:rPr>
        <w:t xml:space="preserve"> 年退役大学生士兵免试专升本招生工作实施办法》（浙教办考〔2023〕2 号）的有关政策和规定，特制定本招生简章。</w:t>
      </w:r>
    </w:p>
    <w:p>
      <w:pPr>
        <w:pStyle w:val="5"/>
        <w:adjustRightInd w:val="0"/>
        <w:snapToGrid w:val="0"/>
        <w:spacing w:beforeAutospacing="0" w:afterAutospacing="0" w:line="560" w:lineRule="exact"/>
        <w:ind w:firstLine="643" w:firstLineChars="200"/>
        <w:rPr>
          <w:rFonts w:ascii="仿宋_GB2312" w:eastAsia="仿宋_GB2312"/>
          <w:sz w:val="32"/>
          <w:szCs w:val="28"/>
        </w:rPr>
      </w:pPr>
      <w:r>
        <w:rPr>
          <w:rStyle w:val="7"/>
          <w:rFonts w:hint="eastAsia" w:ascii="仿宋_GB2312" w:hAnsi="仿宋_GB2312" w:eastAsia="仿宋_GB2312" w:cs="仿宋_GB2312"/>
          <w:sz w:val="32"/>
          <w:szCs w:val="32"/>
        </w:rPr>
        <w:t>第二条</w:t>
      </w:r>
      <w:r>
        <w:rPr>
          <w:rFonts w:hint="eastAsia" w:ascii="仿宋_GB2312" w:eastAsia="仿宋_GB2312"/>
          <w:sz w:val="32"/>
          <w:szCs w:val="28"/>
        </w:rPr>
        <w:t>  本简章适用于202</w:t>
      </w:r>
      <w:r>
        <w:rPr>
          <w:rFonts w:hint="eastAsia" w:ascii="仿宋_GB2312" w:eastAsia="仿宋_GB2312"/>
          <w:sz w:val="32"/>
          <w:szCs w:val="28"/>
          <w:lang w:val="en-US" w:eastAsia="zh-CN"/>
        </w:rPr>
        <w:t>3</w:t>
      </w:r>
      <w:r>
        <w:rPr>
          <w:rFonts w:hint="eastAsia" w:ascii="仿宋_GB2312" w:eastAsia="仿宋_GB2312"/>
          <w:sz w:val="32"/>
          <w:szCs w:val="28"/>
        </w:rPr>
        <w:t>年退役大学生士兵免试专升本招生工作。</w:t>
      </w:r>
    </w:p>
    <w:p>
      <w:pPr>
        <w:pStyle w:val="5"/>
        <w:widowControl/>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7"/>
          <w:rFonts w:hint="eastAsia" w:ascii="仿宋_GB2312" w:hAnsi="仿宋_GB2312" w:eastAsia="仿宋_GB2312" w:cs="仿宋_GB2312"/>
          <w:sz w:val="32"/>
          <w:szCs w:val="32"/>
        </w:rPr>
        <w:t xml:space="preserve">　第三条  </w:t>
      </w:r>
      <w:r>
        <w:rPr>
          <w:rFonts w:hint="eastAsia" w:ascii="仿宋_GB2312" w:hAnsi="仿宋_GB2312" w:eastAsia="仿宋_GB2312" w:cs="仿宋_GB2312"/>
          <w:sz w:val="32"/>
          <w:szCs w:val="32"/>
        </w:rPr>
        <w:t>招生工作严格执行教育部和省级招生主管部门的有关政策和规定，坚持公平、公正、公开的原则，实施全面考核、综合评价、择优录取。</w:t>
      </w:r>
    </w:p>
    <w:p>
      <w:pPr>
        <w:pStyle w:val="5"/>
        <w:widowControl/>
        <w:spacing w:beforeAutospacing="0" w:afterAutospacing="0" w:line="560" w:lineRule="exact"/>
        <w:ind w:firstLine="643" w:firstLineChars="200"/>
        <w:jc w:val="both"/>
        <w:rPr>
          <w:rFonts w:ascii="仿宋_GB2312" w:hAnsi="仿宋_GB2312" w:eastAsia="仿宋_GB2312" w:cs="仿宋_GB2312"/>
          <w:sz w:val="32"/>
          <w:szCs w:val="32"/>
        </w:rPr>
      </w:pPr>
      <w:r>
        <w:rPr>
          <w:rStyle w:val="7"/>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rPr>
        <w:t>招生工作实施“阳光工程”,接受广大考生及其家长和社会各方面的监督。</w:t>
      </w:r>
    </w:p>
    <w:p>
      <w:pPr>
        <w:spacing w:line="560" w:lineRule="exact"/>
        <w:jc w:val="center"/>
        <w:rPr>
          <w:rFonts w:ascii="仿宋_GB2312" w:hAnsi="Times New Roman" w:eastAsia="仿宋_GB2312" w:cs="Times New Roman"/>
          <w:b/>
          <w:bCs/>
          <w:color w:val="000000"/>
          <w:sz w:val="32"/>
          <w:szCs w:val="32"/>
        </w:rPr>
      </w:pPr>
    </w:p>
    <w:p>
      <w:pPr>
        <w:spacing w:line="560" w:lineRule="exact"/>
        <w:jc w:val="center"/>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第二章 学校概况</w:t>
      </w:r>
    </w:p>
    <w:p>
      <w:pPr>
        <w:spacing w:line="560" w:lineRule="exact"/>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bCs/>
          <w:color w:val="000000"/>
          <w:sz w:val="32"/>
          <w:szCs w:val="32"/>
        </w:rPr>
        <w:t>第五条</w:t>
      </w:r>
      <w:r>
        <w:rPr>
          <w:rFonts w:hint="eastAsia" w:ascii="仿宋_GB2312" w:hAnsi="Times New Roman" w:eastAsia="仿宋_GB2312" w:cs="Times New Roman"/>
          <w:color w:val="000000"/>
          <w:sz w:val="32"/>
          <w:szCs w:val="32"/>
        </w:rPr>
        <w:t>  学校全称：温州医科大学</w:t>
      </w:r>
      <w:r>
        <w:rPr>
          <w:rFonts w:hint="eastAsia" w:ascii="仿宋_GB2312" w:hAnsi="Times New Roman" w:eastAsia="仿宋_GB2312" w:cs="Times New Roman"/>
          <w:color w:val="000000"/>
          <w:sz w:val="32"/>
          <w:szCs w:val="32"/>
          <w:lang w:eastAsia="zh-CN"/>
        </w:rPr>
        <w:t>仁济学院</w:t>
      </w:r>
      <w:r>
        <w:rPr>
          <w:rFonts w:hint="eastAsia" w:ascii="仿宋_GB2312" w:hAnsi="Times New Roman" w:eastAsia="仿宋_GB2312" w:cs="Times New Roman"/>
          <w:color w:val="000000"/>
          <w:sz w:val="32"/>
          <w:szCs w:val="32"/>
        </w:rPr>
        <w:t>。</w:t>
      </w:r>
    </w:p>
    <w:p>
      <w:pPr>
        <w:spacing w:line="560" w:lineRule="exact"/>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bCs/>
          <w:color w:val="000000"/>
          <w:sz w:val="32"/>
          <w:szCs w:val="32"/>
        </w:rPr>
        <w:t>第六条</w:t>
      </w:r>
      <w:r>
        <w:rPr>
          <w:rFonts w:hint="eastAsia" w:ascii="仿宋_GB2312" w:hAnsi="Times New Roman" w:eastAsia="仿宋_GB2312" w:cs="Times New Roman"/>
          <w:color w:val="000000"/>
          <w:sz w:val="32"/>
          <w:szCs w:val="32"/>
        </w:rPr>
        <w:t>  学校代码：00</w:t>
      </w:r>
      <w:r>
        <w:rPr>
          <w:rFonts w:hint="eastAsia" w:ascii="仿宋_GB2312" w:hAnsi="Times New Roman" w:eastAsia="仿宋_GB2312" w:cs="Times New Roman"/>
          <w:color w:val="000000"/>
          <w:sz w:val="32"/>
          <w:szCs w:val="32"/>
          <w:lang w:val="en-US" w:eastAsia="zh-CN"/>
        </w:rPr>
        <w:t>9</w:t>
      </w:r>
      <w:r>
        <w:rPr>
          <w:rFonts w:hint="eastAsia" w:ascii="仿宋_GB2312" w:hAnsi="Times New Roman" w:eastAsia="仿宋_GB2312" w:cs="Times New Roman"/>
          <w:color w:val="000000"/>
          <w:sz w:val="32"/>
          <w:szCs w:val="32"/>
        </w:rPr>
        <w:t>9。</w:t>
      </w:r>
    </w:p>
    <w:p>
      <w:pPr>
        <w:spacing w:line="560" w:lineRule="exact"/>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bCs/>
          <w:color w:val="000000"/>
          <w:sz w:val="32"/>
          <w:szCs w:val="32"/>
        </w:rPr>
        <w:t>第七条</w:t>
      </w:r>
      <w:r>
        <w:rPr>
          <w:rFonts w:hint="eastAsia" w:ascii="仿宋_GB2312" w:hAnsi="Times New Roman" w:eastAsia="仿宋_GB2312" w:cs="Times New Roman"/>
          <w:color w:val="000000"/>
          <w:sz w:val="32"/>
          <w:szCs w:val="32"/>
        </w:rPr>
        <w:t>  办学层次和类型：</w:t>
      </w:r>
      <w:r>
        <w:rPr>
          <w:rFonts w:hint="eastAsia" w:ascii="仿宋_GB2312" w:hAnsi="Times New Roman" w:eastAsia="仿宋_GB2312" w:cs="Times New Roman"/>
          <w:color w:val="000000"/>
          <w:kern w:val="2"/>
          <w:sz w:val="32"/>
          <w:szCs w:val="32"/>
        </w:rPr>
        <w:t>全日制普通本科独立学院。</w:t>
      </w:r>
    </w:p>
    <w:p>
      <w:pPr>
        <w:spacing w:line="560" w:lineRule="exact"/>
        <w:ind w:firstLine="643"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第八条</w:t>
      </w:r>
      <w:r>
        <w:rPr>
          <w:rFonts w:hint="eastAsia" w:ascii="仿宋_GB2312" w:hAnsi="Times New Roman" w:eastAsia="仿宋_GB2312" w:cs="Times New Roman"/>
          <w:color w:val="000000"/>
          <w:sz w:val="32"/>
          <w:szCs w:val="32"/>
        </w:rPr>
        <w:t xml:space="preserve"> 办学地点：浙江省温州市茶山高教园区。</w:t>
      </w:r>
    </w:p>
    <w:p>
      <w:pPr>
        <w:spacing w:line="560" w:lineRule="exact"/>
        <w:ind w:firstLine="643"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第九条</w:t>
      </w:r>
      <w:r>
        <w:rPr>
          <w:rFonts w:hint="eastAsia" w:ascii="仿宋_GB2312" w:hAnsi="Times New Roman" w:eastAsia="仿宋_GB2312" w:cs="Times New Roman"/>
          <w:color w:val="000000"/>
          <w:sz w:val="32"/>
          <w:szCs w:val="32"/>
        </w:rPr>
        <w:t> </w:t>
      </w:r>
      <w:r>
        <w:rPr>
          <w:rFonts w:hint="eastAsia" w:ascii="仿宋_GB2312" w:eastAsia="仿宋_GB2312" w:cs="Times New Roman"/>
          <w:color w:val="000000"/>
          <w:sz w:val="32"/>
          <w:szCs w:val="32"/>
        </w:rPr>
        <w:t xml:space="preserve"> </w:t>
      </w:r>
      <w:r>
        <w:rPr>
          <w:rFonts w:hint="eastAsia" w:ascii="仿宋_GB2312" w:hAnsi="Times New Roman" w:eastAsia="仿宋_GB2312" w:cs="Times New Roman"/>
          <w:color w:val="000000"/>
          <w:kern w:val="2"/>
          <w:sz w:val="32"/>
          <w:szCs w:val="32"/>
        </w:rPr>
        <w:t>学校简介：温州医科大学仁济学院成立于1999年，是经教育部和浙江省人民政府批准，依托温州医科大学设立的一所按新的办学机制和模式运作的本科层次独立学院。</w:t>
      </w:r>
    </w:p>
    <w:p>
      <w:pPr>
        <w:spacing w:line="560" w:lineRule="exact"/>
        <w:jc w:val="center"/>
        <w:rPr>
          <w:rFonts w:ascii="仿宋_GB2312" w:hAnsi="Times New Roman" w:eastAsia="仿宋_GB2312" w:cs="Times New Roman"/>
          <w:b/>
          <w:bCs/>
          <w:color w:val="000000"/>
          <w:sz w:val="32"/>
          <w:szCs w:val="32"/>
        </w:rPr>
      </w:pPr>
    </w:p>
    <w:p>
      <w:pPr>
        <w:spacing w:line="560" w:lineRule="exact"/>
        <w:jc w:val="center"/>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第三章 组织机构</w:t>
      </w:r>
    </w:p>
    <w:p>
      <w:pPr>
        <w:spacing w:line="560" w:lineRule="exact"/>
        <w:ind w:firstLine="643" w:firstLineChars="200"/>
        <w:rPr>
          <w:rFonts w:ascii="仿宋_GB2312" w:hAnsi="仿宋_GB2312" w:eastAsia="仿宋_GB2312" w:cs="仿宋_GB2312"/>
          <w:sz w:val="32"/>
          <w:szCs w:val="32"/>
        </w:rPr>
      </w:pPr>
      <w:r>
        <w:rPr>
          <w:rFonts w:hint="eastAsia" w:ascii="仿宋_GB2312" w:hAnsi="Times New Roman" w:eastAsia="仿宋_GB2312" w:cs="Times New Roman"/>
          <w:b/>
          <w:bCs/>
          <w:color w:val="000000"/>
          <w:sz w:val="32"/>
          <w:szCs w:val="32"/>
        </w:rPr>
        <w:t>第十条</w:t>
      </w:r>
      <w:r>
        <w:rPr>
          <w:rFonts w:hint="eastAsia" w:ascii="仿宋_GB2312" w:hAnsi="Times New Roman" w:eastAsia="仿宋_GB2312" w:cs="Times New Roman"/>
          <w:color w:val="000000"/>
          <w:sz w:val="32"/>
          <w:szCs w:val="32"/>
        </w:rPr>
        <w:t xml:space="preserve">  </w:t>
      </w:r>
      <w:r>
        <w:rPr>
          <w:rFonts w:hint="eastAsia" w:ascii="仿宋_GB2312" w:hAnsi="Calibri" w:eastAsia="仿宋_GB2312"/>
          <w:bCs/>
          <w:sz w:val="32"/>
          <w:szCs w:val="32"/>
        </w:rPr>
        <w:t>学校设立本科招生工作</w:t>
      </w:r>
      <w:r>
        <w:rPr>
          <w:rFonts w:hint="eastAsia" w:ascii="仿宋_GB2312" w:eastAsia="仿宋_GB2312"/>
          <w:bCs/>
          <w:sz w:val="32"/>
          <w:szCs w:val="32"/>
          <w:lang w:val="en-US" w:eastAsia="zh-CN"/>
        </w:rPr>
        <w:t>领导小组</w:t>
      </w:r>
      <w:r>
        <w:rPr>
          <w:rFonts w:hint="eastAsia" w:ascii="仿宋_GB2312" w:hAnsi="Calibri" w:eastAsia="仿宋_GB2312"/>
          <w:bCs/>
          <w:sz w:val="32"/>
          <w:szCs w:val="32"/>
        </w:rPr>
        <w:t>，全面负责学校</w:t>
      </w:r>
      <w:r>
        <w:rPr>
          <w:rFonts w:hint="eastAsia" w:ascii="仿宋_GB2312" w:hAnsi="仿宋_GB2312" w:eastAsia="仿宋_GB2312" w:cs="仿宋_GB2312"/>
          <w:sz w:val="32"/>
          <w:szCs w:val="32"/>
        </w:rPr>
        <w:t>大学生退役士兵</w:t>
      </w:r>
      <w:r>
        <w:rPr>
          <w:rFonts w:ascii="仿宋_GB2312" w:hAnsi="仿宋_GB2312" w:eastAsia="仿宋_GB2312" w:cs="仿宋_GB2312"/>
          <w:color w:val="000000"/>
          <w:kern w:val="0"/>
          <w:sz w:val="32"/>
          <w:szCs w:val="32"/>
        </w:rPr>
        <w:t>免试专升本</w:t>
      </w:r>
      <w:r>
        <w:rPr>
          <w:rFonts w:hint="eastAsia" w:ascii="仿宋_GB2312" w:hAnsi="仿宋_GB2312" w:eastAsia="仿宋_GB2312" w:cs="仿宋_GB2312"/>
          <w:color w:val="000000"/>
          <w:kern w:val="0"/>
          <w:sz w:val="32"/>
          <w:szCs w:val="32"/>
        </w:rPr>
        <w:t>招生</w:t>
      </w:r>
      <w:r>
        <w:rPr>
          <w:rFonts w:ascii="仿宋_GB2312" w:hAnsi="仿宋_GB2312" w:eastAsia="仿宋_GB2312" w:cs="仿宋_GB2312"/>
          <w:color w:val="000000"/>
          <w:kern w:val="0"/>
          <w:sz w:val="32"/>
          <w:szCs w:val="32"/>
        </w:rPr>
        <w:t>工作</w:t>
      </w:r>
      <w:r>
        <w:rPr>
          <w:rFonts w:hint="eastAsia" w:ascii="仿宋_GB2312" w:hAnsi="Calibri" w:eastAsia="仿宋_GB2312"/>
          <w:bCs/>
          <w:sz w:val="32"/>
          <w:szCs w:val="32"/>
        </w:rPr>
        <w:t>。</w:t>
      </w:r>
      <w:r>
        <w:rPr>
          <w:rFonts w:hint="eastAsia" w:ascii="仿宋_GB2312" w:hAnsi="Calibri" w:eastAsia="仿宋_GB2312"/>
          <w:bCs/>
          <w:sz w:val="32"/>
          <w:szCs w:val="32"/>
          <w:lang w:eastAsia="zh-CN"/>
        </w:rPr>
        <w:t>教务部</w:t>
      </w:r>
      <w:r>
        <w:rPr>
          <w:rFonts w:hint="eastAsia" w:ascii="仿宋_GB2312" w:hAnsi="Calibri" w:eastAsia="仿宋_GB2312"/>
          <w:bCs/>
          <w:sz w:val="32"/>
          <w:szCs w:val="32"/>
        </w:rPr>
        <w:t>招生办是组织和实施</w:t>
      </w:r>
      <w:r>
        <w:rPr>
          <w:rFonts w:hint="eastAsia" w:ascii="仿宋_GB2312" w:hAnsi="仿宋_GB2312" w:eastAsia="仿宋_GB2312" w:cs="仿宋_GB2312"/>
          <w:sz w:val="32"/>
          <w:szCs w:val="32"/>
        </w:rPr>
        <w:t>大学生退役士兵</w:t>
      </w:r>
      <w:r>
        <w:rPr>
          <w:rFonts w:ascii="仿宋_GB2312" w:hAnsi="仿宋_GB2312" w:eastAsia="仿宋_GB2312" w:cs="仿宋_GB2312"/>
          <w:color w:val="000000"/>
          <w:kern w:val="0"/>
          <w:sz w:val="32"/>
          <w:szCs w:val="32"/>
        </w:rPr>
        <w:t>免试专升本</w:t>
      </w:r>
      <w:r>
        <w:rPr>
          <w:rFonts w:hint="eastAsia" w:ascii="仿宋_GB2312" w:hAnsi="仿宋_GB2312" w:eastAsia="仿宋_GB2312" w:cs="仿宋_GB2312"/>
          <w:color w:val="000000"/>
          <w:kern w:val="0"/>
          <w:sz w:val="32"/>
          <w:szCs w:val="32"/>
        </w:rPr>
        <w:t>招生</w:t>
      </w:r>
      <w:r>
        <w:rPr>
          <w:rFonts w:ascii="仿宋_GB2312" w:hAnsi="仿宋_GB2312" w:eastAsia="仿宋_GB2312" w:cs="仿宋_GB2312"/>
          <w:color w:val="000000"/>
          <w:kern w:val="0"/>
          <w:sz w:val="32"/>
          <w:szCs w:val="32"/>
        </w:rPr>
        <w:t>工作</w:t>
      </w:r>
      <w:r>
        <w:rPr>
          <w:rFonts w:hint="eastAsia" w:ascii="仿宋_GB2312" w:hAnsi="Calibri" w:eastAsia="仿宋_GB2312"/>
          <w:bCs/>
          <w:sz w:val="32"/>
          <w:szCs w:val="32"/>
        </w:rPr>
        <w:t>的常设机构，具体负责</w:t>
      </w:r>
      <w:r>
        <w:rPr>
          <w:rFonts w:hint="eastAsia" w:ascii="仿宋_GB2312" w:hAnsi="仿宋_GB2312" w:eastAsia="仿宋_GB2312" w:cs="仿宋_GB2312"/>
          <w:sz w:val="32"/>
          <w:szCs w:val="32"/>
        </w:rPr>
        <w:t>大学生退役士兵</w:t>
      </w:r>
      <w:r>
        <w:rPr>
          <w:rFonts w:ascii="仿宋_GB2312" w:hAnsi="仿宋_GB2312" w:eastAsia="仿宋_GB2312" w:cs="仿宋_GB2312"/>
          <w:color w:val="000000"/>
          <w:kern w:val="0"/>
          <w:sz w:val="32"/>
          <w:szCs w:val="32"/>
        </w:rPr>
        <w:t>免试专升本</w:t>
      </w:r>
      <w:r>
        <w:rPr>
          <w:rFonts w:hint="eastAsia" w:ascii="仿宋_GB2312" w:hAnsi="仿宋_GB2312" w:eastAsia="仿宋_GB2312" w:cs="仿宋_GB2312"/>
          <w:color w:val="000000"/>
          <w:kern w:val="0"/>
          <w:sz w:val="32"/>
          <w:szCs w:val="32"/>
        </w:rPr>
        <w:t>招生</w:t>
      </w:r>
      <w:r>
        <w:rPr>
          <w:rFonts w:hint="eastAsia" w:ascii="仿宋_GB2312" w:hAnsi="Calibri" w:eastAsia="仿宋_GB2312"/>
          <w:bCs/>
          <w:sz w:val="32"/>
          <w:szCs w:val="32"/>
        </w:rPr>
        <w:t>的日常工作。</w:t>
      </w:r>
    </w:p>
    <w:p>
      <w:pPr>
        <w:pStyle w:val="5"/>
        <w:widowControl/>
        <w:spacing w:beforeAutospacing="0" w:afterAutospacing="0" w:line="560" w:lineRule="exact"/>
        <w:ind w:firstLine="641"/>
        <w:jc w:val="both"/>
        <w:rPr>
          <w:rFonts w:ascii="仿宋_GB2312" w:hAnsi="仿宋_GB2312" w:eastAsia="仿宋_GB2312" w:cs="仿宋_GB2312"/>
          <w:sz w:val="32"/>
          <w:szCs w:val="32"/>
        </w:rPr>
      </w:pPr>
      <w:r>
        <w:rPr>
          <w:rFonts w:hint="eastAsia" w:ascii="仿宋_GB2312" w:hAnsi="Times New Roman" w:eastAsia="仿宋_GB2312"/>
          <w:b/>
          <w:bCs/>
          <w:color w:val="000000"/>
          <w:sz w:val="32"/>
          <w:szCs w:val="32"/>
        </w:rPr>
        <w:t>第十</w:t>
      </w:r>
      <w:r>
        <w:rPr>
          <w:rFonts w:hint="eastAsia" w:ascii="仿宋_GB2312" w:eastAsia="仿宋_GB2312"/>
          <w:b/>
          <w:bCs/>
          <w:color w:val="000000"/>
          <w:sz w:val="32"/>
          <w:szCs w:val="32"/>
        </w:rPr>
        <w:t>一</w:t>
      </w:r>
      <w:r>
        <w:rPr>
          <w:rFonts w:hint="eastAsia" w:ascii="仿宋_GB2312" w:hAnsi="Times New Roman" w:eastAsia="仿宋_GB2312"/>
          <w:b/>
          <w:bCs/>
          <w:color w:val="000000"/>
          <w:sz w:val="32"/>
          <w:szCs w:val="32"/>
        </w:rPr>
        <w:t>条</w:t>
      </w:r>
      <w:r>
        <w:rPr>
          <w:rFonts w:hint="eastAsia" w:ascii="仿宋_GB2312" w:hAnsi="Times New Roman" w:eastAsia="仿宋_GB2312"/>
          <w:color w:val="000000"/>
          <w:sz w:val="32"/>
          <w:szCs w:val="32"/>
        </w:rPr>
        <w:t xml:space="preserve">  </w:t>
      </w:r>
      <w:r>
        <w:rPr>
          <w:rFonts w:hint="eastAsia" w:ascii="仿宋_GB2312" w:hAnsi="仿宋_GB2312" w:eastAsia="仿宋_GB2312" w:cs="仿宋_GB2312"/>
          <w:sz w:val="32"/>
          <w:szCs w:val="32"/>
        </w:rPr>
        <w:t>选拔录取工作由学校纪检监察部门全程进行监督，并接受社会监督。</w:t>
      </w:r>
    </w:p>
    <w:p>
      <w:pPr>
        <w:spacing w:line="560" w:lineRule="exact"/>
        <w:ind w:firstLine="0" w:firstLineChars="0"/>
        <w:rPr>
          <w:rFonts w:ascii="黑体" w:hAnsi="黑体" w:eastAsia="黑体" w:cs="黑体"/>
          <w:sz w:val="32"/>
          <w:szCs w:val="32"/>
        </w:rPr>
      </w:pPr>
    </w:p>
    <w:p>
      <w:pPr>
        <w:spacing w:line="560" w:lineRule="exact"/>
        <w:jc w:val="center"/>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第四章  招生专业和计划</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eastAsia="仿宋_GB2312"/>
          <w:sz w:val="32"/>
          <w:szCs w:val="28"/>
        </w:rPr>
        <w:t xml:space="preserve"> 202</w:t>
      </w:r>
      <w:r>
        <w:rPr>
          <w:rFonts w:hint="eastAsia" w:ascii="仿宋_GB2312" w:eastAsia="仿宋_GB2312"/>
          <w:sz w:val="32"/>
          <w:szCs w:val="28"/>
          <w:lang w:val="en-US" w:eastAsia="zh-CN"/>
        </w:rPr>
        <w:t>3</w:t>
      </w:r>
      <w:r>
        <w:rPr>
          <w:rFonts w:hint="eastAsia" w:ascii="仿宋_GB2312" w:eastAsia="仿宋_GB2312"/>
          <w:sz w:val="32"/>
          <w:szCs w:val="28"/>
        </w:rPr>
        <w:t>年退役大学生士兵免试专升本招生类别为理工类</w:t>
      </w:r>
      <w:r>
        <w:rPr>
          <w:rFonts w:hint="eastAsia" w:ascii="仿宋_GB2312" w:eastAsia="仿宋_GB2312"/>
          <w:sz w:val="32"/>
          <w:szCs w:val="28"/>
          <w:lang w:eastAsia="zh-CN"/>
        </w:rPr>
        <w:t>、医学类等两个类别</w:t>
      </w:r>
      <w:r>
        <w:rPr>
          <w:rFonts w:hint="eastAsia" w:ascii="仿宋_GB2312" w:hAnsi="仿宋_GB2312" w:eastAsia="仿宋_GB2312" w:cs="仿宋_GB2312"/>
          <w:sz w:val="32"/>
          <w:szCs w:val="32"/>
        </w:rPr>
        <w:t>。考生高职高专阶段所学专业须符合所报专业志愿的限报专业要求和体检要求，具体要求如下：</w:t>
      </w:r>
    </w:p>
    <w:p>
      <w:pPr>
        <w:spacing w:line="560" w:lineRule="exact"/>
        <w:jc w:val="center"/>
        <w:rPr>
          <w:rFonts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年退役大学生专升本免试招生计划表</w:t>
      </w:r>
    </w:p>
    <w:tbl>
      <w:tblPr>
        <w:tblStyle w:val="9"/>
        <w:tblW w:w="9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75"/>
        <w:gridCol w:w="495"/>
        <w:gridCol w:w="1155"/>
        <w:gridCol w:w="1464"/>
        <w:gridCol w:w="931"/>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2" w:hRule="atLeast"/>
          <w:jc w:val="center"/>
        </w:trPr>
        <w:tc>
          <w:tcPr>
            <w:tcW w:w="978" w:type="dxa"/>
            <w:vAlign w:val="center"/>
          </w:tcPr>
          <w:p>
            <w:pPr>
              <w:adjustRightInd w:val="0"/>
              <w:snapToGrid w:val="0"/>
              <w:jc w:val="center"/>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专业</w:t>
            </w:r>
          </w:p>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名称</w:t>
            </w:r>
          </w:p>
        </w:tc>
        <w:tc>
          <w:tcPr>
            <w:tcW w:w="975" w:type="dxa"/>
            <w:tcMar>
              <w:top w:w="0" w:type="dxa"/>
              <w:left w:w="108" w:type="dxa"/>
              <w:bottom w:w="0" w:type="dxa"/>
              <w:right w:w="108" w:type="dxa"/>
            </w:tcMar>
            <w:vAlign w:val="center"/>
          </w:tcPr>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专业</w:t>
            </w:r>
          </w:p>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代码</w:t>
            </w:r>
          </w:p>
        </w:tc>
        <w:tc>
          <w:tcPr>
            <w:tcW w:w="495" w:type="dxa"/>
            <w:tcMar>
              <w:top w:w="0" w:type="dxa"/>
              <w:left w:w="108" w:type="dxa"/>
              <w:bottom w:w="0" w:type="dxa"/>
              <w:right w:w="108" w:type="dxa"/>
            </w:tcMar>
            <w:vAlign w:val="center"/>
          </w:tcPr>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学制</w:t>
            </w:r>
          </w:p>
        </w:tc>
        <w:tc>
          <w:tcPr>
            <w:tcW w:w="1155" w:type="dxa"/>
            <w:tcMar>
              <w:top w:w="0" w:type="dxa"/>
              <w:left w:w="108" w:type="dxa"/>
              <w:bottom w:w="0" w:type="dxa"/>
              <w:right w:w="108" w:type="dxa"/>
            </w:tcMar>
            <w:vAlign w:val="center"/>
          </w:tcPr>
          <w:p>
            <w:pPr>
              <w:adjustRightInd w:val="0"/>
              <w:snapToGrid w:val="0"/>
              <w:jc w:val="center"/>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录取</w:t>
            </w:r>
          </w:p>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类别</w:t>
            </w:r>
          </w:p>
        </w:tc>
        <w:tc>
          <w:tcPr>
            <w:tcW w:w="1464" w:type="dxa"/>
            <w:vAlign w:val="center"/>
          </w:tcPr>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参考学费</w:t>
            </w:r>
          </w:p>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（元/年）</w:t>
            </w:r>
          </w:p>
        </w:tc>
        <w:tc>
          <w:tcPr>
            <w:tcW w:w="931" w:type="dxa"/>
            <w:vAlign w:val="center"/>
          </w:tcPr>
          <w:p>
            <w:pPr>
              <w:adjustRightInd w:val="0"/>
              <w:snapToGrid w:val="0"/>
              <w:jc w:val="center"/>
              <w:rPr>
                <w:rFonts w:hint="eastAsia" w:ascii="仿宋" w:hAnsi="仿宋" w:eastAsia="仿宋" w:cs="宋体"/>
                <w:color w:val="000000"/>
                <w:kern w:val="0"/>
                <w:sz w:val="30"/>
                <w:szCs w:val="30"/>
                <w:lang w:val="en-US" w:eastAsia="zh-CN"/>
              </w:rPr>
            </w:pPr>
            <w:r>
              <w:rPr>
                <w:rFonts w:hint="eastAsia" w:ascii="仿宋" w:hAnsi="仿宋" w:eastAsia="仿宋" w:cs="宋体"/>
                <w:color w:val="000000"/>
                <w:kern w:val="0"/>
                <w:sz w:val="30"/>
                <w:szCs w:val="30"/>
                <w:lang w:val="en-US" w:eastAsia="zh-CN"/>
              </w:rPr>
              <w:t>计划数</w:t>
            </w:r>
          </w:p>
        </w:tc>
        <w:tc>
          <w:tcPr>
            <w:tcW w:w="3206" w:type="dxa"/>
            <w:vAlign w:val="center"/>
          </w:tcPr>
          <w:p>
            <w:pPr>
              <w:adjustRightInd w:val="0"/>
              <w:snapToGrid w:val="0"/>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978" w:type="dxa"/>
            <w:vAlign w:val="center"/>
          </w:tcPr>
          <w:p>
            <w:pPr>
              <w:adjustRightInd w:val="0"/>
              <w:snapToGrid w:val="0"/>
              <w:spacing w:line="240" w:lineRule="auto"/>
              <w:jc w:val="center"/>
              <w:rPr>
                <w:rFonts w:ascii="仿宋" w:hAnsi="仿宋" w:eastAsia="仿宋" w:cs="宋体"/>
                <w:color w:val="000000"/>
                <w:kern w:val="0"/>
                <w:sz w:val="30"/>
                <w:szCs w:val="30"/>
              </w:rPr>
            </w:pPr>
            <w:r>
              <w:rPr>
                <w:rFonts w:hint="eastAsia" w:ascii="仿宋" w:hAnsi="仿宋" w:eastAsia="仿宋" w:cs="宋体"/>
                <w:color w:val="000000"/>
                <w:kern w:val="0"/>
                <w:sz w:val="24"/>
                <w:szCs w:val="24"/>
                <w:lang w:eastAsia="zh-CN"/>
              </w:rPr>
              <w:t>药学</w:t>
            </w:r>
          </w:p>
        </w:tc>
        <w:tc>
          <w:tcPr>
            <w:tcW w:w="975" w:type="dxa"/>
            <w:tcMar>
              <w:top w:w="0" w:type="dxa"/>
              <w:left w:w="108" w:type="dxa"/>
              <w:bottom w:w="0" w:type="dxa"/>
              <w:right w:w="108" w:type="dxa"/>
            </w:tcMar>
            <w:vAlign w:val="center"/>
          </w:tcPr>
          <w:p>
            <w:pPr>
              <w:adjustRightInd w:val="0"/>
              <w:snapToGrid w:val="0"/>
              <w:spacing w:line="240" w:lineRule="auto"/>
              <w:jc w:val="center"/>
              <w:rPr>
                <w:rFonts w:ascii="仿宋" w:hAnsi="仿宋" w:eastAsia="仿宋" w:cs="宋体"/>
                <w:kern w:val="0"/>
                <w:sz w:val="30"/>
                <w:szCs w:val="30"/>
              </w:rPr>
            </w:pPr>
            <w:r>
              <w:rPr>
                <w:rFonts w:hint="eastAsia" w:ascii="仿宋" w:hAnsi="仿宋" w:eastAsia="仿宋" w:cs="宋体"/>
                <w:color w:val="000000"/>
                <w:kern w:val="0"/>
                <w:sz w:val="24"/>
                <w:szCs w:val="24"/>
                <w:lang w:val="en-US" w:eastAsia="zh-CN"/>
              </w:rPr>
              <w:t>0</w:t>
            </w:r>
            <w:r>
              <w:rPr>
                <w:rFonts w:hint="eastAsia" w:ascii="仿宋" w:hAnsi="仿宋" w:eastAsia="仿宋" w:cs="宋体"/>
                <w:color w:val="000000"/>
                <w:kern w:val="0"/>
                <w:sz w:val="24"/>
                <w:szCs w:val="24"/>
                <w:lang w:eastAsia="zh-CN"/>
              </w:rPr>
              <w:t>01</w:t>
            </w:r>
          </w:p>
        </w:tc>
        <w:tc>
          <w:tcPr>
            <w:tcW w:w="495" w:type="dxa"/>
            <w:tcMar>
              <w:top w:w="0" w:type="dxa"/>
              <w:left w:w="108" w:type="dxa"/>
              <w:bottom w:w="0" w:type="dxa"/>
              <w:right w:w="108" w:type="dxa"/>
            </w:tcMar>
            <w:vAlign w:val="center"/>
          </w:tcPr>
          <w:p>
            <w:pPr>
              <w:adjustRightInd w:val="0"/>
              <w:snapToGrid w:val="0"/>
              <w:spacing w:line="240" w:lineRule="auto"/>
              <w:jc w:val="center"/>
              <w:rPr>
                <w:rFonts w:ascii="仿宋" w:hAnsi="仿宋" w:eastAsia="仿宋" w:cs="宋体"/>
                <w:kern w:val="0"/>
                <w:sz w:val="30"/>
                <w:szCs w:val="30"/>
              </w:rPr>
            </w:pPr>
            <w:r>
              <w:rPr>
                <w:rFonts w:hint="eastAsia" w:ascii="仿宋" w:hAnsi="仿宋" w:eastAsia="仿宋" w:cs="宋体"/>
                <w:color w:val="000000"/>
                <w:kern w:val="0"/>
                <w:sz w:val="24"/>
                <w:szCs w:val="24"/>
                <w:lang w:eastAsia="zh-CN"/>
              </w:rPr>
              <w:t>两年</w:t>
            </w:r>
          </w:p>
        </w:tc>
        <w:tc>
          <w:tcPr>
            <w:tcW w:w="1155" w:type="dxa"/>
            <w:tcMar>
              <w:top w:w="0" w:type="dxa"/>
              <w:left w:w="108" w:type="dxa"/>
              <w:bottom w:w="0" w:type="dxa"/>
              <w:right w:w="108" w:type="dxa"/>
            </w:tcMar>
            <w:vAlign w:val="center"/>
          </w:tcPr>
          <w:p>
            <w:pPr>
              <w:adjustRightInd w:val="0"/>
              <w:snapToGrid w:val="0"/>
              <w:spacing w:line="240" w:lineRule="auto"/>
              <w:jc w:val="center"/>
              <w:rPr>
                <w:rFonts w:ascii="仿宋" w:hAnsi="仿宋" w:eastAsia="仿宋" w:cs="宋体"/>
                <w:kern w:val="0"/>
                <w:sz w:val="30"/>
                <w:szCs w:val="30"/>
              </w:rPr>
            </w:pPr>
            <w:r>
              <w:rPr>
                <w:rFonts w:hint="eastAsia" w:ascii="仿宋" w:hAnsi="仿宋" w:eastAsia="仿宋" w:cs="宋体"/>
                <w:color w:val="000000"/>
                <w:kern w:val="0"/>
                <w:sz w:val="24"/>
                <w:szCs w:val="24"/>
                <w:lang w:eastAsia="zh-CN"/>
              </w:rPr>
              <w:t>理工类</w:t>
            </w:r>
          </w:p>
        </w:tc>
        <w:tc>
          <w:tcPr>
            <w:tcW w:w="1464" w:type="dxa"/>
            <w:vAlign w:val="center"/>
          </w:tcPr>
          <w:p>
            <w:pPr>
              <w:adjustRightInd w:val="0"/>
              <w:snapToGrid w:val="0"/>
              <w:spacing w:line="240" w:lineRule="auto"/>
              <w:jc w:val="center"/>
              <w:rPr>
                <w:rFonts w:ascii="仿宋" w:hAnsi="仿宋" w:eastAsia="仿宋" w:cs="宋体"/>
                <w:kern w:val="0"/>
                <w:sz w:val="30"/>
                <w:szCs w:val="30"/>
              </w:rPr>
            </w:pPr>
            <w:r>
              <w:rPr>
                <w:rFonts w:hint="eastAsia" w:ascii="仿宋" w:hAnsi="仿宋" w:eastAsia="仿宋" w:cs="宋体"/>
                <w:color w:val="000000"/>
                <w:kern w:val="0"/>
                <w:sz w:val="24"/>
                <w:szCs w:val="24"/>
                <w:lang w:eastAsia="zh-CN"/>
              </w:rPr>
              <w:t>2</w:t>
            </w:r>
            <w:r>
              <w:rPr>
                <w:rFonts w:hint="eastAsia" w:ascii="仿宋" w:hAnsi="仿宋" w:eastAsia="仿宋" w:cs="宋体"/>
                <w:color w:val="000000"/>
                <w:kern w:val="0"/>
                <w:sz w:val="24"/>
                <w:szCs w:val="24"/>
                <w:lang w:val="en-US" w:eastAsia="zh-CN"/>
              </w:rPr>
              <w:t>6250</w:t>
            </w:r>
          </w:p>
        </w:tc>
        <w:tc>
          <w:tcPr>
            <w:tcW w:w="931" w:type="dxa"/>
            <w:vAlign w:val="center"/>
          </w:tcPr>
          <w:p>
            <w:pPr>
              <w:adjustRightInd w:val="0"/>
              <w:snapToGrid w:val="0"/>
              <w:spacing w:line="240" w:lineRule="auto"/>
              <w:jc w:val="center"/>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26</w:t>
            </w:r>
          </w:p>
        </w:tc>
        <w:tc>
          <w:tcPr>
            <w:tcW w:w="3206" w:type="dxa"/>
            <w:vAlign w:val="center"/>
          </w:tcPr>
          <w:p>
            <w:pPr>
              <w:adjustRightInd w:val="0"/>
              <w:snapToGrid w:val="0"/>
              <w:spacing w:line="240" w:lineRule="auto"/>
              <w:jc w:val="center"/>
              <w:rPr>
                <w:rFonts w:ascii="仿宋_GB2312" w:hAnsi="仿宋_GB2312" w:eastAsia="仿宋_GB2312" w:cs="仿宋_GB2312"/>
                <w:sz w:val="28"/>
                <w:szCs w:val="28"/>
                <w:shd w:val="clear" w:color="auto" w:fill="FFFFFF"/>
              </w:rPr>
            </w:pPr>
            <w:r>
              <w:rPr>
                <w:rFonts w:hint="eastAsia" w:ascii="仿宋" w:hAnsi="仿宋" w:eastAsia="仿宋"/>
                <w:color w:val="000000"/>
                <w:kern w:val="0"/>
                <w:sz w:val="22"/>
              </w:rPr>
              <w:t>高职高专阶段所学专业为药品生物技术、食品质量与安全、药品生产技术、药品质量与安全、化学制药技术、生物制药技术、中药制药技术、药物制剂技术、药学的考生可报考。茶山校区。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7" w:hRule="atLeast"/>
          <w:jc w:val="center"/>
        </w:trPr>
        <w:tc>
          <w:tcPr>
            <w:tcW w:w="978" w:type="dxa"/>
            <w:vAlign w:val="center"/>
          </w:tcPr>
          <w:p>
            <w:pPr>
              <w:adjustRightInd w:val="0"/>
              <w:snapToGrid w:val="0"/>
              <w:spacing w:line="240" w:lineRule="auto"/>
              <w:jc w:val="center"/>
              <w:rPr>
                <w:rFonts w:hint="eastAsia" w:ascii="仿宋" w:hAnsi="仿宋" w:eastAsia="仿宋" w:cs="宋体"/>
                <w:color w:val="000000"/>
                <w:kern w:val="0"/>
                <w:sz w:val="30"/>
                <w:szCs w:val="30"/>
              </w:rPr>
            </w:pPr>
            <w:r>
              <w:rPr>
                <w:rFonts w:hint="eastAsia" w:ascii="仿宋" w:hAnsi="仿宋" w:eastAsia="仿宋" w:cs="宋体"/>
                <w:color w:val="000000"/>
                <w:kern w:val="0"/>
                <w:sz w:val="24"/>
                <w:szCs w:val="24"/>
                <w:lang w:eastAsia="zh-CN"/>
              </w:rPr>
              <w:t>中药学</w:t>
            </w:r>
          </w:p>
        </w:tc>
        <w:tc>
          <w:tcPr>
            <w:tcW w:w="97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shd w:val="clear" w:color="auto" w:fill="FFFFFF"/>
              </w:rPr>
            </w:pPr>
            <w:r>
              <w:rPr>
                <w:rFonts w:hint="eastAsia" w:ascii="仿宋" w:hAnsi="仿宋" w:eastAsia="仿宋" w:cs="宋体"/>
                <w:color w:val="000000"/>
                <w:kern w:val="0"/>
                <w:sz w:val="24"/>
                <w:szCs w:val="24"/>
                <w:lang w:val="en-US" w:eastAsia="zh-CN"/>
              </w:rPr>
              <w:t>002</w:t>
            </w:r>
          </w:p>
        </w:tc>
        <w:tc>
          <w:tcPr>
            <w:tcW w:w="495" w:type="dxa"/>
            <w:tcMar>
              <w:top w:w="0" w:type="dxa"/>
              <w:left w:w="108" w:type="dxa"/>
              <w:bottom w:w="0" w:type="dxa"/>
              <w:right w:w="108" w:type="dxa"/>
            </w:tcMar>
            <w:vAlign w:val="center"/>
          </w:tcPr>
          <w:p>
            <w:pPr>
              <w:adjustRightInd w:val="0"/>
              <w:snapToGrid w:val="0"/>
              <w:spacing w:line="240" w:lineRule="auto"/>
              <w:jc w:val="center"/>
              <w:rPr>
                <w:rFonts w:hint="eastAsia" w:ascii="仿宋" w:hAnsi="仿宋" w:eastAsia="仿宋" w:cs="宋体"/>
                <w:kern w:val="0"/>
                <w:sz w:val="30"/>
                <w:szCs w:val="30"/>
              </w:rPr>
            </w:pPr>
            <w:r>
              <w:rPr>
                <w:rFonts w:hint="eastAsia" w:ascii="仿宋" w:hAnsi="仿宋" w:eastAsia="仿宋" w:cs="宋体"/>
                <w:color w:val="000000"/>
                <w:kern w:val="0"/>
                <w:sz w:val="24"/>
                <w:szCs w:val="24"/>
                <w:lang w:eastAsia="zh-CN"/>
              </w:rPr>
              <w:t>两年</w:t>
            </w:r>
          </w:p>
        </w:tc>
        <w:tc>
          <w:tcPr>
            <w:tcW w:w="1155" w:type="dxa"/>
            <w:tcMar>
              <w:top w:w="0" w:type="dxa"/>
              <w:left w:w="108" w:type="dxa"/>
              <w:bottom w:w="0" w:type="dxa"/>
              <w:right w:w="108" w:type="dxa"/>
            </w:tcMar>
            <w:vAlign w:val="center"/>
          </w:tcPr>
          <w:p>
            <w:pPr>
              <w:adjustRightInd w:val="0"/>
              <w:snapToGrid w:val="0"/>
              <w:spacing w:line="240" w:lineRule="auto"/>
              <w:jc w:val="center"/>
              <w:rPr>
                <w:rFonts w:hint="eastAsia" w:ascii="仿宋" w:hAnsi="仿宋" w:eastAsia="仿宋" w:cs="宋体"/>
                <w:kern w:val="0"/>
                <w:sz w:val="30"/>
                <w:szCs w:val="30"/>
              </w:rPr>
            </w:pPr>
            <w:r>
              <w:rPr>
                <w:rFonts w:hint="eastAsia" w:ascii="仿宋" w:hAnsi="仿宋" w:eastAsia="仿宋" w:cs="宋体"/>
                <w:color w:val="000000"/>
                <w:kern w:val="0"/>
                <w:sz w:val="24"/>
                <w:szCs w:val="24"/>
                <w:lang w:eastAsia="zh-CN"/>
              </w:rPr>
              <w:t>理工类</w:t>
            </w:r>
          </w:p>
        </w:tc>
        <w:tc>
          <w:tcPr>
            <w:tcW w:w="1464" w:type="dxa"/>
            <w:vAlign w:val="center"/>
          </w:tcPr>
          <w:p>
            <w:pPr>
              <w:adjustRightInd w:val="0"/>
              <w:snapToGrid w:val="0"/>
              <w:spacing w:line="240" w:lineRule="auto"/>
              <w:jc w:val="center"/>
              <w:rPr>
                <w:rFonts w:ascii="仿宋_GB2312" w:hAnsi="仿宋_GB2312" w:eastAsia="仿宋_GB2312" w:cs="仿宋_GB2312"/>
                <w:sz w:val="28"/>
                <w:szCs w:val="28"/>
                <w:shd w:val="clear" w:color="auto" w:fill="FFFFFF"/>
              </w:rPr>
            </w:pPr>
            <w:r>
              <w:rPr>
                <w:rFonts w:hint="eastAsia" w:ascii="仿宋" w:hAnsi="仿宋" w:eastAsia="仿宋" w:cs="宋体"/>
                <w:color w:val="000000"/>
                <w:kern w:val="0"/>
                <w:sz w:val="24"/>
                <w:szCs w:val="24"/>
                <w:lang w:eastAsia="zh-CN"/>
              </w:rPr>
              <w:t>2</w:t>
            </w:r>
            <w:r>
              <w:rPr>
                <w:rFonts w:hint="eastAsia" w:ascii="仿宋" w:hAnsi="仿宋" w:eastAsia="仿宋" w:cs="宋体"/>
                <w:color w:val="000000"/>
                <w:kern w:val="0"/>
                <w:sz w:val="24"/>
                <w:szCs w:val="24"/>
                <w:lang w:val="en-US" w:eastAsia="zh-CN"/>
              </w:rPr>
              <w:t>6250</w:t>
            </w:r>
          </w:p>
        </w:tc>
        <w:tc>
          <w:tcPr>
            <w:tcW w:w="931" w:type="dxa"/>
            <w:vAlign w:val="center"/>
          </w:tcPr>
          <w:p>
            <w:pPr>
              <w:adjustRightInd w:val="0"/>
              <w:snapToGrid w:val="0"/>
              <w:spacing w:line="240" w:lineRule="auto"/>
              <w:jc w:val="center"/>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10</w:t>
            </w:r>
          </w:p>
        </w:tc>
        <w:tc>
          <w:tcPr>
            <w:tcW w:w="3206" w:type="dxa"/>
            <w:vAlign w:val="center"/>
          </w:tcPr>
          <w:p>
            <w:pPr>
              <w:adjustRightInd w:val="0"/>
              <w:snapToGrid w:val="0"/>
              <w:spacing w:line="240" w:lineRule="auto"/>
              <w:jc w:val="center"/>
              <w:rPr>
                <w:rFonts w:hint="eastAsia" w:ascii="仿宋_GB2312" w:hAnsi="仿宋_GB2312" w:eastAsia="仿宋_GB2312" w:cs="仿宋_GB2312"/>
                <w:kern w:val="0"/>
                <w:sz w:val="28"/>
                <w:szCs w:val="28"/>
              </w:rPr>
            </w:pPr>
            <w:r>
              <w:rPr>
                <w:rFonts w:hint="eastAsia" w:ascii="仿宋" w:hAnsi="仿宋" w:eastAsia="仿宋"/>
                <w:color w:val="000000"/>
                <w:kern w:val="0"/>
                <w:sz w:val="22"/>
              </w:rPr>
              <w:t>高职高专阶段所学专业为药品生物技术、药品生产技术、药品质量与安全、化学制药技术、生物制药技术、中药制药技术、药物制剂技术、药学、中药学的考生可报考。茶山校区。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2" w:hRule="atLeast"/>
          <w:jc w:val="center"/>
        </w:trPr>
        <w:tc>
          <w:tcPr>
            <w:tcW w:w="978" w:type="dxa"/>
            <w:vAlign w:val="center"/>
          </w:tcPr>
          <w:p>
            <w:pPr>
              <w:adjustRightInd w:val="0"/>
              <w:snapToGrid w:val="0"/>
              <w:spacing w:line="240" w:lineRule="auto"/>
              <w:jc w:val="center"/>
              <w:rPr>
                <w:rFonts w:hint="eastAsia" w:ascii="仿宋" w:hAnsi="仿宋" w:eastAsia="仿宋" w:cs="宋体"/>
                <w:color w:val="000000"/>
                <w:kern w:val="0"/>
                <w:sz w:val="30"/>
                <w:szCs w:val="30"/>
              </w:rPr>
            </w:pPr>
            <w:r>
              <w:rPr>
                <w:rFonts w:hint="eastAsia" w:ascii="仿宋" w:hAnsi="仿宋" w:eastAsia="仿宋" w:cs="宋体"/>
                <w:color w:val="000000"/>
                <w:kern w:val="0"/>
                <w:sz w:val="24"/>
                <w:szCs w:val="24"/>
                <w:lang w:eastAsia="zh-CN"/>
              </w:rPr>
              <w:t>眼视光学</w:t>
            </w:r>
          </w:p>
        </w:tc>
        <w:tc>
          <w:tcPr>
            <w:tcW w:w="97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shd w:val="clear" w:color="auto" w:fill="FFFFFF"/>
              </w:rPr>
            </w:pPr>
            <w:r>
              <w:rPr>
                <w:rFonts w:hint="eastAsia" w:ascii="仿宋" w:hAnsi="仿宋" w:eastAsia="仿宋" w:cs="宋体"/>
                <w:color w:val="000000"/>
                <w:kern w:val="0"/>
                <w:sz w:val="24"/>
                <w:szCs w:val="24"/>
                <w:lang w:val="en-US" w:eastAsia="zh-CN"/>
              </w:rPr>
              <w:t>004</w:t>
            </w:r>
          </w:p>
        </w:tc>
        <w:tc>
          <w:tcPr>
            <w:tcW w:w="495" w:type="dxa"/>
            <w:tcMar>
              <w:top w:w="0" w:type="dxa"/>
              <w:left w:w="108" w:type="dxa"/>
              <w:bottom w:w="0" w:type="dxa"/>
              <w:right w:w="108" w:type="dxa"/>
            </w:tcMar>
            <w:vAlign w:val="center"/>
          </w:tcPr>
          <w:p>
            <w:pPr>
              <w:adjustRightInd w:val="0"/>
              <w:snapToGrid w:val="0"/>
              <w:spacing w:line="240" w:lineRule="auto"/>
              <w:jc w:val="center"/>
              <w:rPr>
                <w:rFonts w:hint="eastAsia" w:ascii="仿宋" w:hAnsi="仿宋" w:eastAsia="仿宋" w:cs="宋体"/>
                <w:kern w:val="0"/>
                <w:sz w:val="30"/>
                <w:szCs w:val="30"/>
              </w:rPr>
            </w:pPr>
            <w:r>
              <w:rPr>
                <w:rFonts w:hint="eastAsia" w:ascii="仿宋" w:hAnsi="仿宋" w:eastAsia="仿宋" w:cs="宋体"/>
                <w:color w:val="000000"/>
                <w:kern w:val="0"/>
                <w:sz w:val="24"/>
                <w:szCs w:val="24"/>
                <w:lang w:eastAsia="zh-CN"/>
              </w:rPr>
              <w:t>两年</w:t>
            </w:r>
          </w:p>
        </w:tc>
        <w:tc>
          <w:tcPr>
            <w:tcW w:w="1155" w:type="dxa"/>
            <w:tcMar>
              <w:top w:w="0" w:type="dxa"/>
              <w:left w:w="108" w:type="dxa"/>
              <w:bottom w:w="0" w:type="dxa"/>
              <w:right w:w="108" w:type="dxa"/>
            </w:tcMar>
            <w:vAlign w:val="center"/>
          </w:tcPr>
          <w:p>
            <w:pPr>
              <w:adjustRightInd w:val="0"/>
              <w:snapToGrid w:val="0"/>
              <w:spacing w:line="240" w:lineRule="auto"/>
              <w:jc w:val="center"/>
              <w:rPr>
                <w:rFonts w:hint="eastAsia" w:ascii="仿宋" w:hAnsi="仿宋" w:eastAsia="仿宋" w:cs="宋体"/>
                <w:kern w:val="0"/>
                <w:sz w:val="30"/>
                <w:szCs w:val="30"/>
              </w:rPr>
            </w:pPr>
            <w:r>
              <w:rPr>
                <w:rFonts w:hint="eastAsia" w:ascii="仿宋" w:hAnsi="仿宋" w:eastAsia="仿宋" w:cs="宋体"/>
                <w:color w:val="000000"/>
                <w:kern w:val="0"/>
                <w:sz w:val="24"/>
                <w:szCs w:val="24"/>
                <w:lang w:eastAsia="zh-CN"/>
              </w:rPr>
              <w:t>医学类</w:t>
            </w:r>
          </w:p>
        </w:tc>
        <w:tc>
          <w:tcPr>
            <w:tcW w:w="1464" w:type="dxa"/>
            <w:vAlign w:val="center"/>
          </w:tcPr>
          <w:p>
            <w:pPr>
              <w:adjustRightInd w:val="0"/>
              <w:snapToGrid w:val="0"/>
              <w:spacing w:line="240" w:lineRule="auto"/>
              <w:jc w:val="center"/>
              <w:rPr>
                <w:rFonts w:ascii="仿宋_GB2312" w:hAnsi="仿宋_GB2312" w:eastAsia="仿宋_GB2312" w:cs="仿宋_GB2312"/>
                <w:sz w:val="28"/>
                <w:szCs w:val="28"/>
                <w:shd w:val="clear" w:color="auto" w:fill="FFFFFF"/>
              </w:rPr>
            </w:pPr>
            <w:r>
              <w:rPr>
                <w:rFonts w:hint="eastAsia" w:ascii="仿宋" w:hAnsi="仿宋" w:eastAsia="仿宋" w:cs="宋体"/>
                <w:color w:val="000000"/>
                <w:kern w:val="0"/>
                <w:sz w:val="24"/>
                <w:szCs w:val="24"/>
                <w:lang w:eastAsia="zh-CN"/>
              </w:rPr>
              <w:t>19000</w:t>
            </w:r>
          </w:p>
        </w:tc>
        <w:tc>
          <w:tcPr>
            <w:tcW w:w="931" w:type="dxa"/>
            <w:vAlign w:val="center"/>
          </w:tcPr>
          <w:p>
            <w:pPr>
              <w:adjustRightInd w:val="0"/>
              <w:snapToGrid w:val="0"/>
              <w:spacing w:line="240" w:lineRule="auto"/>
              <w:jc w:val="center"/>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14</w:t>
            </w:r>
          </w:p>
        </w:tc>
        <w:tc>
          <w:tcPr>
            <w:tcW w:w="3206" w:type="dxa"/>
            <w:vAlign w:val="center"/>
          </w:tcPr>
          <w:p>
            <w:pPr>
              <w:adjustRightInd w:val="0"/>
              <w:snapToGrid w:val="0"/>
              <w:spacing w:line="240" w:lineRule="auto"/>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高职高专阶段所学专业为眼视光技术的考生可报考。</w:t>
            </w:r>
          </w:p>
          <w:p>
            <w:pPr>
              <w:adjustRightInd w:val="0"/>
              <w:snapToGrid w:val="0"/>
              <w:spacing w:line="240" w:lineRule="auto"/>
              <w:jc w:val="center"/>
              <w:rPr>
                <w:rFonts w:hint="eastAsia" w:ascii="仿宋_GB2312" w:hAnsi="仿宋_GB2312" w:eastAsia="仿宋_GB2312" w:cs="仿宋_GB2312"/>
                <w:kern w:val="0"/>
                <w:sz w:val="28"/>
                <w:szCs w:val="28"/>
              </w:rPr>
            </w:pPr>
            <w:r>
              <w:rPr>
                <w:rFonts w:hint="eastAsia" w:ascii="仿宋" w:hAnsi="仿宋" w:eastAsia="仿宋"/>
                <w:color w:val="000000"/>
                <w:kern w:val="0"/>
                <w:sz w:val="22"/>
                <w:szCs w:val="22"/>
              </w:rPr>
              <w:t>茶山校区。</w:t>
            </w:r>
          </w:p>
        </w:tc>
      </w:tr>
    </w:tbl>
    <w:p>
      <w:pPr>
        <w:autoSpaceDE w:val="0"/>
        <w:autoSpaceDN w:val="0"/>
        <w:adjustRightInd w:val="0"/>
        <w:snapToGrid w:val="0"/>
        <w:spacing w:line="56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备注：各专业招生计划、类别、备注以考试院最终公布为准；各专业学费标准以物价部门最终公布结果为准。</w:t>
      </w:r>
    </w:p>
    <w:p>
      <w:pPr>
        <w:pStyle w:val="5"/>
        <w:widowControl/>
        <w:spacing w:beforeAutospacing="0" w:afterAutospacing="0" w:line="560" w:lineRule="exact"/>
        <w:jc w:val="center"/>
        <w:rPr>
          <w:rStyle w:val="7"/>
          <w:rFonts w:ascii="仿宋_GB2312" w:hAnsi="仿宋_GB2312" w:eastAsia="仿宋_GB2312" w:cs="仿宋_GB2312"/>
          <w:kern w:val="2"/>
          <w:sz w:val="32"/>
          <w:szCs w:val="32"/>
        </w:rPr>
      </w:pPr>
    </w:p>
    <w:p>
      <w:pPr>
        <w:pStyle w:val="5"/>
        <w:widowControl/>
        <w:spacing w:beforeAutospacing="0" w:afterAutospacing="0" w:line="560" w:lineRule="exact"/>
        <w:jc w:val="center"/>
        <w:rPr>
          <w:rFonts w:ascii="仿宋_GB2312" w:hAnsi="仿宋_GB2312" w:eastAsia="仿宋_GB2312" w:cs="仿宋_GB2312"/>
          <w:sz w:val="32"/>
          <w:szCs w:val="32"/>
        </w:rPr>
      </w:pPr>
      <w:r>
        <w:rPr>
          <w:rStyle w:val="7"/>
          <w:rFonts w:hint="eastAsia" w:ascii="仿宋_GB2312" w:hAnsi="仿宋_GB2312" w:eastAsia="仿宋_GB2312" w:cs="仿宋_GB2312"/>
          <w:sz w:val="32"/>
          <w:szCs w:val="32"/>
        </w:rPr>
        <w:t>第五章  考试报名与资格审核</w:t>
      </w:r>
    </w:p>
    <w:p>
      <w:pPr>
        <w:spacing w:line="56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符合下列条件的人员可以提出申请：</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普通高校高职（专科）毕业生及在校生（含高校新生）在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省应征入伍，退役后完成高职（专科）学业</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遵守中华人民共和国宪法和法律</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身体健康。</w:t>
      </w:r>
    </w:p>
    <w:p>
      <w:pPr>
        <w:spacing w:line="560" w:lineRule="exact"/>
        <w:ind w:firstLine="630" w:firstLineChars="196"/>
      </w:pPr>
      <w:r>
        <w:rPr>
          <w:rFonts w:hint="eastAsia" w:ascii="仿宋_GB2312" w:hAnsi="仿宋_GB2312" w:eastAsia="仿宋_GB2312" w:cs="仿宋_GB2312"/>
          <w:b/>
          <w:bCs/>
          <w:sz w:val="32"/>
          <w:szCs w:val="32"/>
        </w:rPr>
        <w:t xml:space="preserve">第十四条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年退役大学生士兵免试专升本报考条件须符合《浙江省202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年退役大学生士兵免试专升本招生工作实施办法》规定，并按规定时间完成志愿填报。志愿填报时间为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日9时至</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日17 时。</w:t>
      </w:r>
      <w:r>
        <w:rPr>
          <w:rFonts w:ascii="仿宋_GB2312" w:hAnsi="仿宋_GB2312" w:eastAsia="仿宋_GB2312" w:cs="仿宋_GB2312"/>
          <w:color w:val="000000"/>
          <w:kern w:val="0"/>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资格审核等相关事项根据《浙江省202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年退役大学生士兵免试专升本招生工作实施办法》执行。</w:t>
      </w:r>
    </w:p>
    <w:p>
      <w:pPr>
        <w:widowControl/>
        <w:shd w:val="clear" w:color="auto" w:fill="FFFFFF"/>
        <w:spacing w:line="560" w:lineRule="exact"/>
        <w:jc w:val="center"/>
        <w:rPr>
          <w:rFonts w:hint="eastAsia" w:ascii="仿宋" w:hAnsi="仿宋" w:eastAsia="仿宋" w:cs="宋体"/>
          <w:b/>
          <w:bCs/>
          <w:kern w:val="0"/>
          <w:sz w:val="32"/>
          <w:szCs w:val="32"/>
        </w:rPr>
      </w:pPr>
    </w:p>
    <w:p>
      <w:pPr>
        <w:widowControl/>
        <w:shd w:val="clear" w:color="auto" w:fill="FFFFFF"/>
        <w:spacing w:line="560" w:lineRule="exact"/>
        <w:ind w:firstLine="643" w:firstLineChars="200"/>
        <w:jc w:val="center"/>
        <w:rPr>
          <w:rFonts w:hint="default" w:ascii="仿宋" w:hAnsi="仿宋" w:eastAsia="仿宋_GB2312" w:cs="宋体"/>
          <w:b/>
          <w:bCs/>
          <w:kern w:val="0"/>
          <w:sz w:val="32"/>
          <w:szCs w:val="32"/>
          <w:lang w:val="en-US" w:eastAsia="zh-CN"/>
        </w:rPr>
      </w:pPr>
      <w:r>
        <w:rPr>
          <w:rStyle w:val="7"/>
          <w:rFonts w:hint="eastAsia" w:ascii="仿宋_GB2312" w:hAnsi="仿宋_GB2312" w:eastAsia="仿宋_GB2312" w:cs="仿宋_GB2312"/>
          <w:sz w:val="32"/>
          <w:szCs w:val="32"/>
        </w:rPr>
        <w:t>第</w:t>
      </w:r>
      <w:r>
        <w:rPr>
          <w:rStyle w:val="7"/>
          <w:rFonts w:hint="eastAsia" w:ascii="仿宋_GB2312" w:hAnsi="仿宋_GB2312" w:eastAsia="仿宋_GB2312" w:cs="仿宋_GB2312"/>
          <w:sz w:val="32"/>
          <w:szCs w:val="32"/>
          <w:lang w:val="en-US" w:eastAsia="zh-CN"/>
        </w:rPr>
        <w:t>六</w:t>
      </w:r>
      <w:r>
        <w:rPr>
          <w:rStyle w:val="7"/>
          <w:rFonts w:hint="eastAsia" w:ascii="仿宋_GB2312" w:hAnsi="仿宋_GB2312" w:eastAsia="仿宋_GB2312" w:cs="仿宋_GB2312"/>
          <w:sz w:val="32"/>
          <w:szCs w:val="32"/>
        </w:rPr>
        <w:t xml:space="preserve">章  </w:t>
      </w:r>
      <w:r>
        <w:rPr>
          <w:rStyle w:val="7"/>
          <w:rFonts w:hint="eastAsia" w:ascii="仿宋_GB2312" w:hAnsi="仿宋_GB2312" w:eastAsia="仿宋_GB2312" w:cs="仿宋_GB2312"/>
          <w:sz w:val="32"/>
          <w:szCs w:val="32"/>
          <w:lang w:val="en-US" w:eastAsia="zh-CN"/>
        </w:rPr>
        <w:t>选拔与录取</w:t>
      </w:r>
    </w:p>
    <w:p>
      <w:pPr>
        <w:widowControl/>
        <w:shd w:val="clear" w:color="auto" w:fill="FFFFFF"/>
        <w:spacing w:line="560" w:lineRule="exact"/>
        <w:ind w:firstLine="643" w:firstLineChars="200"/>
        <w:rPr>
          <w:rFonts w:ascii="仿宋" w:hAnsi="仿宋" w:eastAsia="仿宋" w:cs="宋体"/>
          <w:kern w:val="0"/>
          <w:sz w:val="32"/>
          <w:szCs w:val="32"/>
        </w:rPr>
      </w:pPr>
      <w:r>
        <w:rPr>
          <w:rFonts w:hint="eastAsia" w:ascii="仿宋_GB2312" w:hAnsi="仿宋_GB2312" w:eastAsia="仿宋_GB2312" w:cs="仿宋_GB2312"/>
          <w:b/>
          <w:bCs/>
          <w:kern w:val="2"/>
          <w:sz w:val="32"/>
          <w:szCs w:val="32"/>
        </w:rPr>
        <w:t>第十</w:t>
      </w:r>
      <w:r>
        <w:rPr>
          <w:rFonts w:hint="eastAsia" w:ascii="仿宋_GB2312" w:hAnsi="仿宋_GB2312" w:eastAsia="仿宋_GB2312" w:cs="仿宋_GB2312"/>
          <w:b/>
          <w:bCs/>
          <w:kern w:val="2"/>
          <w:sz w:val="32"/>
          <w:szCs w:val="32"/>
          <w:lang w:val="en-US" w:eastAsia="zh-CN"/>
        </w:rPr>
        <w:t>六</w:t>
      </w:r>
      <w:r>
        <w:rPr>
          <w:rFonts w:hint="eastAsia" w:ascii="仿宋_GB2312" w:hAnsi="仿宋_GB2312" w:eastAsia="仿宋_GB2312" w:cs="仿宋_GB2312"/>
          <w:b/>
          <w:bCs/>
          <w:kern w:val="2"/>
          <w:sz w:val="32"/>
          <w:szCs w:val="32"/>
        </w:rPr>
        <w:t>条</w:t>
      </w:r>
      <w:r>
        <w:rPr>
          <w:rFonts w:hint="eastAsia" w:ascii="仿宋" w:hAnsi="仿宋" w:eastAsia="仿宋" w:cs="宋体"/>
          <w:kern w:val="0"/>
          <w:sz w:val="32"/>
          <w:szCs w:val="32"/>
        </w:rPr>
        <w:t xml:space="preserve"> </w:t>
      </w:r>
      <w:r>
        <w:rPr>
          <w:rFonts w:hint="eastAsia" w:ascii="仿宋_GB2312" w:hAnsi="仿宋_GB2312" w:eastAsia="仿宋_GB2312" w:cs="仿宋_GB2312"/>
          <w:kern w:val="2"/>
          <w:sz w:val="32"/>
          <w:szCs w:val="32"/>
        </w:rPr>
        <w:t>学校根据浙江省教育考试院提供的考生第一志愿名单择优录取。若第一志愿人数小于或等于招生计划数，符合录取条件的原则上全部录取。</w:t>
      </w:r>
    </w:p>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十</w:t>
      </w:r>
      <w:r>
        <w:rPr>
          <w:rFonts w:hint="eastAsia" w:ascii="仿宋_GB2312" w:hAnsi="仿宋_GB2312" w:eastAsia="仿宋_GB2312" w:cs="仿宋_GB2312"/>
          <w:b/>
          <w:bCs/>
          <w:kern w:val="2"/>
          <w:sz w:val="32"/>
          <w:szCs w:val="32"/>
          <w:lang w:val="en-US" w:eastAsia="zh-CN"/>
        </w:rPr>
        <w:t>七</w:t>
      </w:r>
      <w:r>
        <w:rPr>
          <w:rFonts w:hint="eastAsia" w:ascii="仿宋_GB2312" w:hAnsi="仿宋_GB2312" w:eastAsia="仿宋_GB2312" w:cs="仿宋_GB2312"/>
          <w:b/>
          <w:bCs/>
          <w:kern w:val="2"/>
          <w:sz w:val="32"/>
          <w:szCs w:val="32"/>
        </w:rPr>
        <w:t>条</w:t>
      </w:r>
      <w:r>
        <w:rPr>
          <w:rFonts w:hint="eastAsia" w:ascii="仿宋" w:hAnsi="仿宋" w:eastAsia="仿宋" w:cs="宋体"/>
          <w:kern w:val="0"/>
          <w:sz w:val="32"/>
          <w:szCs w:val="32"/>
        </w:rPr>
        <w:t xml:space="preserve"> </w:t>
      </w:r>
      <w:r>
        <w:rPr>
          <w:rFonts w:hint="eastAsia" w:ascii="仿宋_GB2312" w:hAnsi="仿宋_GB2312" w:eastAsia="仿宋_GB2312" w:cs="仿宋_GB2312"/>
          <w:kern w:val="2"/>
          <w:sz w:val="32"/>
          <w:szCs w:val="32"/>
        </w:rPr>
        <w:t>第一志愿录取结束尚有缺额的，学校将根据浙江省教育考试院提供的第二志愿名单择优录取，按第一志愿录取的工作流程进行。以此类推，直至第三志愿结束。</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b w:val="0"/>
          <w:bCs w:val="0"/>
          <w:kern w:val="2"/>
          <w:sz w:val="32"/>
          <w:szCs w:val="32"/>
          <w:shd w:val="clear"/>
        </w:rPr>
      </w:pPr>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val="en-US" w:eastAsia="zh-CN"/>
        </w:rPr>
        <w:t>十八</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b w:val="0"/>
          <w:bCs w:val="0"/>
          <w:kern w:val="2"/>
          <w:sz w:val="32"/>
          <w:szCs w:val="32"/>
        </w:rPr>
        <w:t xml:space="preserve"> </w:t>
      </w:r>
      <w:r>
        <w:rPr>
          <w:rFonts w:hint="eastAsia" w:ascii="仿宋_GB2312" w:hAnsi="仿宋_GB2312" w:eastAsia="仿宋_GB2312" w:cs="仿宋_GB2312"/>
          <w:b w:val="0"/>
          <w:bCs w:val="0"/>
          <w:kern w:val="2"/>
          <w:sz w:val="32"/>
          <w:szCs w:val="32"/>
          <w:shd w:val="clear"/>
        </w:rPr>
        <w:t>若志愿人数大于专业计划数，学校将组织综合测试。综合测试采用</w:t>
      </w:r>
      <w:r>
        <w:rPr>
          <w:rFonts w:hint="eastAsia" w:ascii="仿宋_GB2312" w:hAnsi="仿宋_GB2312" w:eastAsia="仿宋_GB2312" w:cs="仿宋_GB2312"/>
          <w:b w:val="0"/>
          <w:bCs w:val="0"/>
          <w:kern w:val="2"/>
          <w:sz w:val="32"/>
          <w:szCs w:val="32"/>
          <w:shd w:val="clear"/>
          <w:lang w:val="en-US" w:eastAsia="zh-CN"/>
        </w:rPr>
        <w:t>网络远程</w:t>
      </w:r>
      <w:r>
        <w:rPr>
          <w:rFonts w:hint="eastAsia" w:ascii="仿宋_GB2312" w:hAnsi="仿宋_GB2312" w:eastAsia="仿宋_GB2312" w:cs="仿宋_GB2312"/>
          <w:b w:val="0"/>
          <w:bCs w:val="0"/>
          <w:kern w:val="2"/>
          <w:sz w:val="32"/>
          <w:szCs w:val="32"/>
          <w:shd w:val="clear"/>
        </w:rPr>
        <w:t>方式进行。</w:t>
      </w:r>
      <w:r>
        <w:rPr>
          <w:rFonts w:hint="eastAsia" w:ascii="仿宋_GB2312" w:hAnsi="仿宋_GB2312" w:eastAsia="仿宋_GB2312" w:cs="仿宋_GB2312"/>
          <w:b w:val="0"/>
          <w:bCs w:val="0"/>
          <w:kern w:val="2"/>
          <w:sz w:val="32"/>
          <w:szCs w:val="32"/>
          <w:shd w:val="clear"/>
          <w:lang w:val="en-US" w:eastAsia="zh-CN"/>
        </w:rPr>
        <w:t>综合</w:t>
      </w:r>
      <w:r>
        <w:rPr>
          <w:rFonts w:hint="eastAsia" w:ascii="仿宋_GB2312" w:hAnsi="仿宋_GB2312" w:eastAsia="仿宋_GB2312" w:cs="仿宋_GB2312"/>
          <w:b w:val="0"/>
          <w:bCs w:val="0"/>
          <w:kern w:val="2"/>
          <w:sz w:val="32"/>
          <w:szCs w:val="32"/>
          <w:shd w:val="clear"/>
        </w:rPr>
        <w:t>测试时间将根据录取流程另行通知。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b w:val="0"/>
          <w:bCs w:val="0"/>
          <w:kern w:val="2"/>
          <w:sz w:val="32"/>
          <w:szCs w:val="32"/>
          <w:shd w:val="clear"/>
          <w:lang w:val="en-US" w:eastAsia="zh-CN"/>
        </w:rPr>
      </w:pPr>
      <w:r>
        <w:rPr>
          <w:rFonts w:hint="eastAsia" w:ascii="仿宋_GB2312" w:hAnsi="仿宋_GB2312" w:eastAsia="仿宋_GB2312" w:cs="仿宋_GB2312"/>
          <w:b/>
          <w:bCs/>
          <w:kern w:val="2"/>
          <w:sz w:val="32"/>
          <w:szCs w:val="32"/>
          <w:shd w:val="clear"/>
          <w:lang w:val="en-US" w:eastAsia="zh-CN"/>
        </w:rPr>
        <w:t xml:space="preserve">第十九条 </w:t>
      </w:r>
      <w:r>
        <w:rPr>
          <w:rFonts w:hint="eastAsia" w:ascii="仿宋_GB2312" w:hAnsi="仿宋_GB2312" w:eastAsia="仿宋_GB2312" w:cs="仿宋_GB2312"/>
          <w:b w:val="0"/>
          <w:bCs w:val="0"/>
          <w:kern w:val="2"/>
          <w:sz w:val="32"/>
          <w:szCs w:val="32"/>
          <w:shd w:val="clear"/>
          <w:lang w:val="en-US" w:eastAsia="zh-CN"/>
        </w:rPr>
        <w:t>学校根据综合测试成绩从高到低择优</w:t>
      </w:r>
      <w:r>
        <w:rPr>
          <w:rFonts w:hint="eastAsia" w:ascii="仿宋_GB2312" w:hAnsi="仿宋_GB2312" w:eastAsia="仿宋_GB2312" w:cs="仿宋_GB2312"/>
          <w:b w:val="0"/>
          <w:bCs w:val="0"/>
          <w:kern w:val="2"/>
          <w:sz w:val="32"/>
          <w:szCs w:val="32"/>
          <w:shd w:val="clear"/>
        </w:rPr>
        <w:t>录取</w:t>
      </w:r>
      <w:r>
        <w:rPr>
          <w:rFonts w:hint="eastAsia" w:ascii="仿宋_GB2312" w:hAnsi="仿宋_GB2312" w:eastAsia="仿宋_GB2312" w:cs="仿宋_GB2312"/>
          <w:b w:val="0"/>
          <w:bCs w:val="0"/>
          <w:kern w:val="2"/>
          <w:sz w:val="32"/>
          <w:szCs w:val="32"/>
          <w:shd w:val="clear"/>
          <w:lang w:eastAsia="zh-CN"/>
        </w:rPr>
        <w:t>。</w:t>
      </w:r>
      <w:r>
        <w:rPr>
          <w:rFonts w:hint="eastAsia" w:ascii="仿宋_GB2312" w:hAnsi="仿宋_GB2312" w:eastAsia="仿宋_GB2312" w:cs="仿宋_GB2312"/>
          <w:b w:val="0"/>
          <w:bCs w:val="0"/>
          <w:kern w:val="2"/>
          <w:sz w:val="32"/>
          <w:szCs w:val="32"/>
          <w:shd w:val="clear"/>
          <w:lang w:val="en-US" w:eastAsia="zh-CN"/>
        </w:rPr>
        <w:t>若考生综合测试成绩相同，入伍期间荣立集体三等功及以上的考生优先录取，其他考生按普通高校高职（专科）就读期间必修课平均学分绩点从高到低进行录取。</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b w:val="0"/>
          <w:bCs w:val="0"/>
          <w:kern w:val="2"/>
          <w:sz w:val="32"/>
          <w:szCs w:val="32"/>
          <w:shd w:val="clear"/>
          <w:lang w:val="en-US" w:eastAsia="zh-CN"/>
        </w:rPr>
      </w:pPr>
      <w:r>
        <w:rPr>
          <w:rFonts w:hint="eastAsia" w:ascii="仿宋_GB2312" w:hAnsi="仿宋_GB2312" w:eastAsia="仿宋_GB2312" w:cs="仿宋_GB2312"/>
          <w:b/>
          <w:bCs/>
          <w:kern w:val="2"/>
          <w:sz w:val="32"/>
          <w:szCs w:val="32"/>
          <w:shd w:val="clear"/>
        </w:rPr>
        <w:t>第</w:t>
      </w:r>
      <w:r>
        <w:rPr>
          <w:rFonts w:hint="eastAsia" w:ascii="仿宋_GB2312" w:hAnsi="仿宋_GB2312" w:eastAsia="仿宋_GB2312" w:cs="仿宋_GB2312"/>
          <w:b/>
          <w:bCs/>
          <w:kern w:val="2"/>
          <w:sz w:val="32"/>
          <w:szCs w:val="32"/>
          <w:shd w:val="clear"/>
          <w:lang w:val="en-US" w:eastAsia="zh-CN"/>
        </w:rPr>
        <w:t>二十</w:t>
      </w:r>
      <w:r>
        <w:rPr>
          <w:rFonts w:hint="eastAsia" w:ascii="仿宋_GB2312" w:hAnsi="仿宋_GB2312" w:eastAsia="仿宋_GB2312" w:cs="仿宋_GB2312"/>
          <w:b/>
          <w:bCs/>
          <w:kern w:val="2"/>
          <w:sz w:val="32"/>
          <w:szCs w:val="32"/>
          <w:shd w:val="clear"/>
        </w:rPr>
        <w:t>条</w:t>
      </w:r>
      <w:r>
        <w:rPr>
          <w:rFonts w:hint="eastAsia" w:ascii="仿宋_GB2312" w:hAnsi="仿宋_GB2312" w:eastAsia="仿宋_GB2312" w:cs="仿宋_GB2312"/>
          <w:b w:val="0"/>
          <w:bCs w:val="0"/>
          <w:kern w:val="2"/>
          <w:sz w:val="32"/>
          <w:szCs w:val="32"/>
          <w:shd w:val="clear"/>
        </w:rPr>
        <w:t xml:space="preserve"> </w:t>
      </w:r>
      <w:r>
        <w:rPr>
          <w:rFonts w:hint="eastAsia" w:ascii="仿宋_GB2312" w:hAnsi="仿宋_GB2312" w:eastAsia="仿宋_GB2312" w:cs="仿宋_GB2312"/>
          <w:b w:val="0"/>
          <w:bCs w:val="0"/>
          <w:kern w:val="2"/>
          <w:sz w:val="32"/>
          <w:szCs w:val="32"/>
          <w:shd w:val="clear"/>
          <w:lang w:val="en-US" w:eastAsia="zh-CN"/>
        </w:rPr>
        <w:t>学校对在入伍期间荣立个人三等功及以上的考生免于综合测试直接录取。</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_GB2312" w:hAnsi="仿宋_GB2312" w:eastAsia="仿宋_GB2312" w:cs="仿宋_GB2312"/>
          <w:b w:val="0"/>
          <w:bCs w:val="0"/>
          <w:kern w:val="2"/>
          <w:sz w:val="32"/>
          <w:szCs w:val="32"/>
          <w:shd w:val="clear"/>
          <w:lang w:val="en-US" w:eastAsia="zh-CN"/>
        </w:rPr>
      </w:pPr>
      <w:r>
        <w:rPr>
          <w:rFonts w:hint="eastAsia" w:ascii="仿宋_GB2312" w:hAnsi="仿宋_GB2312" w:eastAsia="仿宋_GB2312" w:cs="仿宋_GB2312"/>
          <w:b/>
          <w:bCs/>
          <w:kern w:val="2"/>
          <w:sz w:val="32"/>
          <w:szCs w:val="32"/>
          <w:shd w:val="clear"/>
        </w:rPr>
        <w:t>第</w:t>
      </w:r>
      <w:r>
        <w:rPr>
          <w:rFonts w:hint="eastAsia" w:ascii="仿宋_GB2312" w:hAnsi="仿宋_GB2312" w:eastAsia="仿宋_GB2312" w:cs="仿宋_GB2312"/>
          <w:b/>
          <w:bCs/>
          <w:kern w:val="2"/>
          <w:sz w:val="32"/>
          <w:szCs w:val="32"/>
          <w:shd w:val="clear"/>
          <w:lang w:val="en-US" w:eastAsia="zh-CN"/>
        </w:rPr>
        <w:t>二</w:t>
      </w:r>
      <w:r>
        <w:rPr>
          <w:rFonts w:hint="eastAsia" w:ascii="仿宋_GB2312" w:hAnsi="仿宋_GB2312" w:eastAsia="仿宋_GB2312" w:cs="仿宋_GB2312"/>
          <w:b/>
          <w:bCs/>
          <w:kern w:val="2"/>
          <w:sz w:val="32"/>
          <w:szCs w:val="32"/>
          <w:shd w:val="clear"/>
        </w:rPr>
        <w:t>十</w:t>
      </w:r>
      <w:r>
        <w:rPr>
          <w:rFonts w:hint="eastAsia" w:ascii="仿宋_GB2312" w:hAnsi="仿宋_GB2312" w:eastAsia="仿宋_GB2312" w:cs="仿宋_GB2312"/>
          <w:b/>
          <w:bCs/>
          <w:kern w:val="2"/>
          <w:sz w:val="32"/>
          <w:szCs w:val="32"/>
          <w:shd w:val="clear"/>
          <w:lang w:val="en-US" w:eastAsia="zh-CN"/>
        </w:rPr>
        <w:t>一</w:t>
      </w:r>
      <w:r>
        <w:rPr>
          <w:rFonts w:hint="eastAsia" w:ascii="仿宋_GB2312" w:hAnsi="仿宋_GB2312" w:eastAsia="仿宋_GB2312" w:cs="仿宋_GB2312"/>
          <w:b/>
          <w:bCs/>
          <w:kern w:val="2"/>
          <w:sz w:val="32"/>
          <w:szCs w:val="32"/>
          <w:shd w:val="clear"/>
        </w:rPr>
        <w:t>条</w:t>
      </w:r>
      <w:r>
        <w:rPr>
          <w:rFonts w:hint="eastAsia" w:ascii="仿宋_GB2312" w:hAnsi="仿宋_GB2312" w:eastAsia="仿宋_GB2312" w:cs="仿宋_GB2312"/>
          <w:b w:val="0"/>
          <w:bCs w:val="0"/>
          <w:kern w:val="2"/>
          <w:sz w:val="32"/>
          <w:szCs w:val="32"/>
          <w:shd w:val="clear"/>
        </w:rPr>
        <w:t xml:space="preserve"> 报考我校考生</w:t>
      </w:r>
      <w:r>
        <w:rPr>
          <w:rFonts w:hint="eastAsia" w:ascii="仿宋_GB2312" w:hAnsi="仿宋_GB2312" w:eastAsia="仿宋_GB2312" w:cs="仿宋_GB2312"/>
          <w:b w:val="0"/>
          <w:bCs w:val="0"/>
          <w:kern w:val="2"/>
          <w:sz w:val="32"/>
          <w:szCs w:val="32"/>
          <w:shd w:val="clear"/>
          <w:lang w:val="en-US" w:eastAsia="zh-CN"/>
        </w:rPr>
        <w:t>应于</w:t>
      </w:r>
      <w:r>
        <w:rPr>
          <w:rFonts w:hint="eastAsia" w:ascii="仿宋_GB2312" w:hAnsi="仿宋_GB2312" w:eastAsia="仿宋_GB2312" w:cs="仿宋_GB2312"/>
          <w:b w:val="0"/>
          <w:bCs w:val="0"/>
          <w:kern w:val="2"/>
          <w:sz w:val="32"/>
          <w:szCs w:val="32"/>
          <w:shd w:val="clear"/>
        </w:rPr>
        <w:t>3月30日前将普通高校高职（专科）就读期间成绩单、</w:t>
      </w:r>
      <w:r>
        <w:rPr>
          <w:rFonts w:hint="eastAsia" w:ascii="仿宋_GB2312" w:hAnsi="仿宋_GB2312" w:eastAsia="仿宋_GB2312" w:cs="仿宋_GB2312"/>
          <w:b w:val="0"/>
          <w:bCs w:val="0"/>
          <w:kern w:val="2"/>
          <w:sz w:val="32"/>
          <w:szCs w:val="32"/>
          <w:shd w:val="clear"/>
          <w:lang w:val="en-US" w:eastAsia="zh-CN"/>
        </w:rPr>
        <w:t>必修课</w:t>
      </w:r>
      <w:r>
        <w:rPr>
          <w:rFonts w:hint="eastAsia" w:ascii="仿宋_GB2312" w:hAnsi="仿宋_GB2312" w:eastAsia="仿宋_GB2312" w:cs="仿宋_GB2312"/>
          <w:b w:val="0"/>
          <w:bCs w:val="0"/>
          <w:kern w:val="2"/>
          <w:sz w:val="32"/>
          <w:szCs w:val="32"/>
          <w:shd w:val="clear"/>
        </w:rPr>
        <w:t>平均学分绩点（平均学分绩点=</w:t>
      </w:r>
      <w:r>
        <w:rPr>
          <w:rFonts w:hint="eastAsia" w:ascii="仿宋_GB2312" w:hAnsi="仿宋_GB2312" w:eastAsia="仿宋_GB2312" w:cs="仿宋_GB2312"/>
          <w:b w:val="0"/>
          <w:bCs w:val="0"/>
          <w:kern w:val="2"/>
          <w:sz w:val="32"/>
          <w:szCs w:val="32"/>
        </w:rPr>
        <w:drawing>
          <wp:inline distT="0" distB="0" distL="114300" distR="114300">
            <wp:extent cx="360045" cy="398780"/>
            <wp:effectExtent l="0" t="0" r="190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0045" cy="398780"/>
                    </a:xfrm>
                    <a:prstGeom prst="rect">
                      <a:avLst/>
                    </a:prstGeom>
                    <a:noFill/>
                    <a:ln w="9525">
                      <a:noFill/>
                    </a:ln>
                  </pic:spPr>
                </pic:pic>
              </a:graphicData>
            </a:graphic>
          </wp:inline>
        </w:drawing>
      </w:r>
      <w:r>
        <w:rPr>
          <w:rFonts w:hint="eastAsia" w:ascii="仿宋_GB2312" w:hAnsi="仿宋_GB2312" w:eastAsia="仿宋_GB2312" w:cs="仿宋_GB2312"/>
          <w:b w:val="0"/>
          <w:bCs w:val="0"/>
          <w:kern w:val="2"/>
          <w:sz w:val="32"/>
          <w:szCs w:val="32"/>
          <w:shd w:val="clear"/>
        </w:rPr>
        <w:t>，Ri为某门课程绩点，Ci为该门课程的学分）等相关证明材料(证明材料均需本人签名且盖就读高校章)以电子扫描PDF版(文件命名为：某某考生报考材料)</w:t>
      </w:r>
      <w:r>
        <w:rPr>
          <w:rFonts w:hint="eastAsia" w:ascii="仿宋_GB2312" w:hAnsi="仿宋_GB2312" w:eastAsia="仿宋_GB2312" w:cs="仿宋_GB2312"/>
          <w:b w:val="0"/>
          <w:bCs w:val="0"/>
          <w:kern w:val="2"/>
          <w:sz w:val="32"/>
          <w:szCs w:val="32"/>
          <w:shd w:val="clear"/>
          <w:lang w:val="en-US" w:eastAsia="zh-CN"/>
        </w:rPr>
        <w:t>发送</w:t>
      </w:r>
      <w:r>
        <w:rPr>
          <w:rFonts w:hint="eastAsia" w:ascii="仿宋_GB2312" w:hAnsi="仿宋_GB2312" w:eastAsia="仿宋_GB2312" w:cs="仿宋_GB2312"/>
          <w:b w:val="0"/>
          <w:bCs w:val="0"/>
          <w:kern w:val="2"/>
          <w:sz w:val="32"/>
          <w:szCs w:val="32"/>
          <w:shd w:val="clear"/>
        </w:rPr>
        <w:t>至学校招生办邮箱rjxyzsb@wmu.edu.cn</w:t>
      </w:r>
      <w:r>
        <w:rPr>
          <w:rFonts w:hint="eastAsia" w:ascii="仿宋_GB2312" w:hAnsi="仿宋_GB2312" w:eastAsia="仿宋_GB2312" w:cs="仿宋_GB2312"/>
          <w:b w:val="0"/>
          <w:bCs w:val="0"/>
          <w:kern w:val="2"/>
          <w:sz w:val="32"/>
          <w:szCs w:val="32"/>
          <w:shd w:val="clear"/>
          <w:lang w:eastAsia="zh-CN"/>
        </w:rPr>
        <w:t>，</w:t>
      </w:r>
      <w:r>
        <w:rPr>
          <w:rFonts w:hint="eastAsia" w:ascii="仿宋_GB2312" w:hAnsi="仿宋_GB2312" w:eastAsia="仿宋_GB2312" w:cs="仿宋_GB2312"/>
          <w:b w:val="0"/>
          <w:bCs w:val="0"/>
          <w:kern w:val="2"/>
          <w:sz w:val="32"/>
          <w:szCs w:val="32"/>
          <w:shd w:val="clear"/>
        </w:rPr>
        <w:t>原件以邮政EMS（拒收其他快递）寄送至浙江省温州市瓯海区茶山高教园区温州医科大学</w:t>
      </w:r>
      <w:r>
        <w:rPr>
          <w:rFonts w:hint="eastAsia" w:ascii="仿宋_GB2312" w:hAnsi="仿宋_GB2312" w:eastAsia="仿宋_GB2312" w:cs="仿宋_GB2312"/>
          <w:b w:val="0"/>
          <w:bCs w:val="0"/>
          <w:kern w:val="2"/>
          <w:sz w:val="32"/>
          <w:szCs w:val="32"/>
          <w:shd w:val="clear"/>
          <w:lang w:eastAsia="zh-CN"/>
        </w:rPr>
        <w:t>仁济学院教务部</w:t>
      </w:r>
      <w:r>
        <w:rPr>
          <w:rFonts w:hint="eastAsia" w:ascii="仿宋_GB2312" w:hAnsi="仿宋_GB2312" w:eastAsia="仿宋_GB2312" w:cs="仿宋_GB2312"/>
          <w:b w:val="0"/>
          <w:bCs w:val="0"/>
          <w:kern w:val="2"/>
          <w:sz w:val="32"/>
          <w:szCs w:val="32"/>
          <w:shd w:val="clear"/>
        </w:rPr>
        <w:t>。</w:t>
      </w:r>
    </w:p>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二</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学校对所填专业志愿不能满足的考生，作退档处理。未被我校录取的，进入后续志愿的投档程序。</w:t>
      </w:r>
    </w:p>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三</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对非应届考生，学校将于4月</w:t>
      </w:r>
      <w:r>
        <w:rPr>
          <w:rFonts w:hint="eastAsia" w:ascii="仿宋_GB2312" w:hAnsi="仿宋_GB2312" w:eastAsia="仿宋_GB2312" w:cs="仿宋_GB2312"/>
          <w:kern w:val="2"/>
          <w:sz w:val="32"/>
          <w:szCs w:val="32"/>
          <w:lang w:val="en-US" w:eastAsia="zh-CN"/>
        </w:rPr>
        <w:t>30日</w:t>
      </w:r>
      <w:r>
        <w:rPr>
          <w:rFonts w:hint="eastAsia" w:ascii="仿宋_GB2312" w:hAnsi="仿宋_GB2312" w:eastAsia="仿宋_GB2312" w:cs="仿宋_GB2312"/>
          <w:kern w:val="2"/>
          <w:sz w:val="32"/>
          <w:szCs w:val="32"/>
        </w:rPr>
        <w:t>前公布正式录取结果。对预录取的应届毕业生，由就读高校于当年7月</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5日前完成高职（专科）毕业资格审核确认，并报浙江省教育厅职成教处复核，学校按审核通过的名单办理录取手续，寄发录取通知书；不能如期毕业的取消录取资格。</w:t>
      </w:r>
    </w:p>
    <w:p>
      <w:pPr>
        <w:widowControl/>
        <w:shd w:val="clear" w:color="auto" w:fill="FFFFFF"/>
        <w:spacing w:line="560" w:lineRule="exact"/>
        <w:ind w:firstLine="643"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四</w:t>
      </w:r>
      <w:r>
        <w:rPr>
          <w:rFonts w:hint="eastAsia" w:ascii="仿宋_GB2312" w:hAnsi="仿宋_GB2312" w:eastAsia="仿宋_GB2312" w:cs="仿宋_GB2312"/>
          <w:b/>
          <w:bCs/>
          <w:kern w:val="2"/>
          <w:sz w:val="32"/>
          <w:szCs w:val="32"/>
        </w:rPr>
        <w:t xml:space="preserve">条 </w:t>
      </w:r>
      <w:r>
        <w:rPr>
          <w:rFonts w:hint="eastAsia" w:ascii="仿宋_GB2312" w:hAnsi="仿宋_GB2312" w:eastAsia="仿宋_GB2312" w:cs="仿宋_GB2312"/>
          <w:kern w:val="2"/>
          <w:sz w:val="32"/>
          <w:szCs w:val="32"/>
        </w:rPr>
        <w:t>免试专升本已录取的不再参加后续普通高校专升本选拔考试录取。</w:t>
      </w:r>
    </w:p>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五</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凡录取后未报到、自行放弃入学资格的考生，此后不再享受免试政策。</w:t>
      </w:r>
    </w:p>
    <w:p>
      <w:pPr>
        <w:widowControl/>
        <w:shd w:val="clear" w:color="auto" w:fill="FFFFFF"/>
        <w:spacing w:line="560" w:lineRule="exact"/>
        <w:jc w:val="center"/>
        <w:rPr>
          <w:rFonts w:hint="eastAsia" w:ascii="仿宋_GB2312" w:hAnsi="仿宋_GB2312" w:eastAsia="仿宋_GB2312" w:cs="仿宋_GB2312"/>
          <w:b w:val="0"/>
          <w:bCs w:val="0"/>
          <w:kern w:val="2"/>
          <w:sz w:val="32"/>
          <w:szCs w:val="32"/>
        </w:rPr>
      </w:pPr>
    </w:p>
    <w:p>
      <w:pPr>
        <w:widowControl/>
        <w:shd w:val="clear" w:color="auto" w:fill="FFFFFF"/>
        <w:spacing w:line="560" w:lineRule="exact"/>
        <w:jc w:val="center"/>
        <w:rPr>
          <w:rFonts w:hint="eastAsia" w:ascii="仿宋_GB2312" w:hAnsi="仿宋_GB2312" w:eastAsia="仿宋_GB2312" w:cs="仿宋_GB2312"/>
          <w:b/>
          <w:bCs/>
          <w:kern w:val="2"/>
          <w:sz w:val="32"/>
          <w:szCs w:val="32"/>
        </w:rPr>
      </w:pPr>
      <w:bookmarkStart w:id="0" w:name="_GoBack"/>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val="en-US" w:eastAsia="zh-CN"/>
        </w:rPr>
        <w:t>七</w:t>
      </w:r>
      <w:r>
        <w:rPr>
          <w:rFonts w:hint="eastAsia" w:ascii="仿宋_GB2312" w:hAnsi="仿宋_GB2312" w:eastAsia="仿宋_GB2312" w:cs="仿宋_GB2312"/>
          <w:b/>
          <w:bCs/>
          <w:kern w:val="2"/>
          <w:sz w:val="32"/>
          <w:szCs w:val="32"/>
        </w:rPr>
        <w:t>章 入学资格复查</w:t>
      </w:r>
    </w:p>
    <w:bookmarkEnd w:id="0"/>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六</w:t>
      </w:r>
      <w:r>
        <w:rPr>
          <w:rFonts w:hint="eastAsia" w:ascii="仿宋_GB2312" w:hAnsi="仿宋_GB2312" w:eastAsia="仿宋_GB2312" w:cs="仿宋_GB2312"/>
          <w:b/>
          <w:bCs/>
          <w:kern w:val="2"/>
          <w:sz w:val="32"/>
          <w:szCs w:val="32"/>
        </w:rPr>
        <w:t xml:space="preserve">条 </w:t>
      </w:r>
      <w:r>
        <w:rPr>
          <w:rFonts w:hint="eastAsia" w:ascii="仿宋_GB2312" w:hAnsi="仿宋_GB2312" w:eastAsia="仿宋_GB2312" w:cs="仿宋_GB2312"/>
          <w:b w:val="0"/>
          <w:bCs w:val="0"/>
          <w:kern w:val="2"/>
          <w:sz w:val="32"/>
          <w:szCs w:val="32"/>
        </w:rPr>
        <w:t>新</w:t>
      </w:r>
      <w:r>
        <w:rPr>
          <w:rFonts w:hint="eastAsia" w:ascii="仿宋_GB2312" w:hAnsi="仿宋_GB2312" w:eastAsia="仿宋_GB2312" w:cs="仿宋_GB2312"/>
          <w:kern w:val="2"/>
          <w:sz w:val="32"/>
          <w:szCs w:val="32"/>
        </w:rPr>
        <w:t>生凭录取通知书、退役证件和普通高校高职（专科）毕业证书原件到学校报到注册</w:t>
      </w:r>
      <w:r>
        <w:rPr>
          <w:rFonts w:hint="eastAsia" w:ascii="仿宋_GB2312" w:hAnsi="仿宋_GB2312" w:eastAsia="仿宋_GB2312" w:cs="仿宋_GB2312"/>
          <w:sz w:val="32"/>
          <w:szCs w:val="32"/>
        </w:rPr>
        <w:t>，</w:t>
      </w:r>
      <w:r>
        <w:rPr>
          <w:rFonts w:hint="eastAsia" w:ascii="仿宋_GB2312" w:hAnsi="仿宋_GB2312" w:eastAsia="仿宋_GB2312" w:cs="仿宋_GB2312"/>
          <w:bCs w:val="0"/>
          <w:snapToGrid/>
          <w:sz w:val="32"/>
          <w:szCs w:val="32"/>
        </w:rPr>
        <w:t>缺一不予报到</w:t>
      </w:r>
      <w:r>
        <w:rPr>
          <w:rFonts w:hint="eastAsia" w:ascii="仿宋_GB2312" w:hAnsi="仿宋_GB2312" w:eastAsia="仿宋_GB2312" w:cs="仿宋_GB2312"/>
          <w:kern w:val="2"/>
          <w:sz w:val="32"/>
          <w:szCs w:val="32"/>
        </w:rPr>
        <w:t>。</w:t>
      </w:r>
      <w:r>
        <w:rPr>
          <w:rFonts w:hint="eastAsia" w:ascii="仿宋_GB2312" w:hAnsi="仿宋_GB2312" w:eastAsia="仿宋_GB2312" w:cs="仿宋_GB2312"/>
          <w:bCs w:val="0"/>
          <w:snapToGrid/>
          <w:sz w:val="32"/>
          <w:szCs w:val="32"/>
        </w:rPr>
        <w:t>学费按升入学校同</w:t>
      </w:r>
      <w:r>
        <w:rPr>
          <w:rFonts w:hint="eastAsia" w:ascii="仿宋_GB2312" w:hAnsi="仿宋_GB2312" w:eastAsia="仿宋_GB2312" w:cs="仿宋_GB2312"/>
          <w:kern w:val="2"/>
          <w:sz w:val="32"/>
          <w:szCs w:val="32"/>
        </w:rPr>
        <w:t>届学生收费标准执行。新生可凭“录取通知书”办理户籍迁移手续。</w:t>
      </w:r>
    </w:p>
    <w:p>
      <w:pPr>
        <w:widowControl/>
        <w:shd w:val="clear" w:color="auto" w:fill="FFFFFF"/>
        <w:autoSpaceDE/>
        <w:autoSpaceDN/>
        <w:adjustRightInd/>
        <w:snapToGrid/>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七</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b w:val="0"/>
          <w:bCs w:val="0"/>
          <w:kern w:val="2"/>
          <w:sz w:val="32"/>
          <w:szCs w:val="32"/>
        </w:rPr>
        <w:t xml:space="preserve"> </w:t>
      </w:r>
      <w:r>
        <w:rPr>
          <w:rFonts w:hint="eastAsia" w:ascii="仿宋_GB2312" w:hAnsi="仿宋_GB2312" w:eastAsia="仿宋_GB2312" w:cs="仿宋_GB2312"/>
          <w:kern w:val="2"/>
          <w:sz w:val="32"/>
          <w:szCs w:val="32"/>
        </w:rPr>
        <w:t>学生入学后不允许转学、转专业。毕业时发全日制普通本科毕业证书，文凭表述为“温州医科大学</w:t>
      </w:r>
      <w:r>
        <w:rPr>
          <w:rFonts w:hint="eastAsia" w:ascii="仿宋_GB2312" w:hAnsi="仿宋_GB2312" w:eastAsia="仿宋_GB2312" w:cs="仿宋_GB2312"/>
          <w:kern w:val="2"/>
          <w:sz w:val="32"/>
          <w:szCs w:val="32"/>
          <w:lang w:eastAsia="zh-CN"/>
        </w:rPr>
        <w:t>仁济学院</w:t>
      </w:r>
      <w:r>
        <w:rPr>
          <w:rFonts w:hint="eastAsia" w:ascii="仿宋_GB2312" w:hAnsi="仿宋_GB2312" w:eastAsia="仿宋_GB2312" w:cs="仿宋_GB2312"/>
          <w:kern w:val="2"/>
          <w:sz w:val="32"/>
          <w:szCs w:val="32"/>
        </w:rPr>
        <w:t>XX专业专科起点本科学习”，学习起止时间按进入本科阶段学习的实际时间填写，符合学位授予条件的授予相应学士学位。</w:t>
      </w:r>
    </w:p>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第二十</w:t>
      </w:r>
      <w:r>
        <w:rPr>
          <w:rFonts w:hint="eastAsia" w:ascii="仿宋_GB2312" w:hAnsi="仿宋_GB2312" w:eastAsia="仿宋_GB2312" w:cs="仿宋_GB2312"/>
          <w:b/>
          <w:bCs/>
          <w:kern w:val="2"/>
          <w:sz w:val="32"/>
          <w:szCs w:val="32"/>
          <w:lang w:val="en-US" w:eastAsia="zh-CN"/>
        </w:rPr>
        <w:t>八</w:t>
      </w:r>
      <w:r>
        <w:rPr>
          <w:rFonts w:hint="eastAsia" w:ascii="仿宋_GB2312" w:hAnsi="仿宋_GB2312" w:eastAsia="仿宋_GB2312" w:cs="仿宋_GB2312"/>
          <w:b/>
          <w:bCs/>
          <w:kern w:val="2"/>
          <w:sz w:val="32"/>
          <w:szCs w:val="32"/>
        </w:rPr>
        <w:t xml:space="preserve">条 </w:t>
      </w:r>
      <w:r>
        <w:rPr>
          <w:rFonts w:hint="eastAsia" w:ascii="仿宋_GB2312" w:hAnsi="仿宋_GB2312" w:eastAsia="仿宋_GB2312" w:cs="仿宋_GB2312"/>
          <w:kern w:val="2"/>
          <w:sz w:val="32"/>
          <w:szCs w:val="32"/>
        </w:rPr>
        <w:t>新生入学后，学校将进行全面复查，对不符合报考条件、报到条件、身体条件（考生身体条件的要求按《普通高等学校招生体检工作指导意见》执行）和录取标准以及弄虚作假、违纪舞弊者，取消其入学资格，并报浙江省教育考试院备案。</w:t>
      </w:r>
    </w:p>
    <w:p>
      <w:pPr>
        <w:widowControl/>
        <w:shd w:val="clear" w:color="auto" w:fill="FFFFFF"/>
        <w:spacing w:line="560" w:lineRule="exact"/>
        <w:jc w:val="center"/>
        <w:rPr>
          <w:rFonts w:hint="eastAsia" w:ascii="仿宋_GB2312" w:hAnsi="仿宋_GB2312" w:eastAsia="仿宋_GB2312" w:cs="仿宋_GB2312"/>
          <w:b w:val="0"/>
          <w:bCs w:val="0"/>
          <w:kern w:val="2"/>
          <w:sz w:val="32"/>
          <w:szCs w:val="32"/>
        </w:rPr>
      </w:pPr>
    </w:p>
    <w:p>
      <w:pPr>
        <w:widowControl/>
        <w:shd w:val="clear" w:color="auto" w:fill="FFFFFF"/>
        <w:spacing w:line="560" w:lineRule="exact"/>
        <w:jc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第九章 附则</w:t>
      </w:r>
    </w:p>
    <w:p>
      <w:pPr>
        <w:widowControl/>
        <w:shd w:val="clear" w:color="auto" w:fill="FFFFFF"/>
        <w:spacing w:line="560" w:lineRule="exact"/>
        <w:ind w:firstLine="643"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二十</w:t>
      </w:r>
      <w:r>
        <w:rPr>
          <w:rFonts w:hint="eastAsia" w:ascii="仿宋_GB2312" w:hAnsi="仿宋_GB2312" w:eastAsia="仿宋_GB2312" w:cs="仿宋_GB2312"/>
          <w:b/>
          <w:bCs/>
          <w:kern w:val="2"/>
          <w:sz w:val="32"/>
          <w:szCs w:val="32"/>
          <w:lang w:val="en-US" w:eastAsia="zh-CN"/>
        </w:rPr>
        <w:t>九</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免试专升本招生联系方式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官网：</w:t>
      </w:r>
      <w:r>
        <w:rPr>
          <w:rFonts w:hint="eastAsia" w:ascii="仿宋_GB2312" w:hAnsi="仿宋_GB2312" w:eastAsia="仿宋_GB2312" w:cs="仿宋_GB2312"/>
          <w:kern w:val="2"/>
          <w:sz w:val="32"/>
          <w:szCs w:val="32"/>
        </w:rPr>
        <w:t>http://rjxy.wmu.edu.cn</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招生网：</w:t>
      </w:r>
      <w:r>
        <w:rPr>
          <w:rFonts w:hint="eastAsia" w:ascii="仿宋_GB2312" w:hAnsi="仿宋_GB2312" w:eastAsia="仿宋_GB2312" w:cs="仿宋_GB2312"/>
          <w:kern w:val="2"/>
          <w:sz w:val="32"/>
          <w:szCs w:val="32"/>
        </w:rPr>
        <w:t>http://rjxy.wmu.edu.cn/zhaosheng</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kern w:val="2"/>
          <w:sz w:val="32"/>
          <w:szCs w:val="32"/>
        </w:rPr>
        <w:t>0577-86682000</w:t>
      </w:r>
    </w:p>
    <w:p>
      <w:pPr>
        <w:widowControl/>
        <w:shd w:val="clear" w:color="auto" w:fill="auto"/>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kern w:val="2"/>
          <w:sz w:val="32"/>
          <w:szCs w:val="32"/>
        </w:rPr>
        <w:t>浙江省温州市茶山高教园区，温州医科大学仁济学院招生办公室</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邮编：325035</w:t>
      </w:r>
      <w:r>
        <w:rPr>
          <w:rFonts w:hint="eastAsia" w:ascii="仿宋_GB2312" w:hAnsi="仿宋_GB2312" w:eastAsia="仿宋_GB2312" w:cs="仿宋_GB2312"/>
          <w:kern w:val="2"/>
          <w:sz w:val="32"/>
          <w:szCs w:val="32"/>
          <w:lang w:eastAsia="zh-CN"/>
        </w:rPr>
        <w:t>。</w:t>
      </w:r>
    </w:p>
    <w:p>
      <w:pPr>
        <w:widowControl/>
        <w:spacing w:beforeAutospacing="0" w:afterAutospacing="0" w:line="560" w:lineRule="exact"/>
        <w:ind w:firstLine="640" w:firstLineChars="200"/>
        <w:jc w:val="both"/>
        <w:rPr>
          <w:rFonts w:hint="eastAsia" w:ascii="仿宋_GB2312" w:hAnsi="仿宋_GB2312" w:eastAsia="仿宋_GB2312" w:cs="仿宋_GB2312"/>
          <w:sz w:val="32"/>
          <w:szCs w:val="32"/>
        </w:rPr>
      </w:pP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本简章由温州医科大学</w:t>
      </w:r>
      <w:r>
        <w:rPr>
          <w:rFonts w:hint="eastAsia" w:ascii="仿宋_GB2312" w:hAnsi="仿宋_GB2312" w:eastAsia="仿宋_GB2312" w:cs="仿宋_GB2312"/>
          <w:sz w:val="32"/>
          <w:szCs w:val="32"/>
          <w:lang w:eastAsia="zh-CN"/>
        </w:rPr>
        <w:t>仁济学院教务部</w:t>
      </w:r>
      <w:r>
        <w:rPr>
          <w:rFonts w:hint="eastAsia" w:ascii="仿宋_GB2312" w:hAnsi="仿宋_GB2312" w:eastAsia="仿宋_GB2312" w:cs="仿宋_GB2312"/>
          <w:sz w:val="32"/>
          <w:szCs w:val="32"/>
        </w:rPr>
        <w:t>招生办负责解释，若有与国家和上级有关政策不一致之处，以国家和上级有关政策为准。</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DJjYTE2MTZjNzY1NDRjMzc5YTlkZTAxY2FiYmEifQ=="/>
  </w:docVars>
  <w:rsids>
    <w:rsidRoot w:val="00000000"/>
    <w:rsid w:val="004518EA"/>
    <w:rsid w:val="1BB05811"/>
    <w:rsid w:val="2A6F1293"/>
    <w:rsid w:val="2C4720FA"/>
    <w:rsid w:val="32E80550"/>
    <w:rsid w:val="4A443E36"/>
    <w:rsid w:val="4B813214"/>
    <w:rsid w:val="4F651B1C"/>
    <w:rsid w:val="5C5B2D35"/>
    <w:rsid w:val="632B415B"/>
    <w:rsid w:val="6978775C"/>
    <w:rsid w:val="72AC6B31"/>
    <w:rsid w:val="798744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9">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bCs/>
    </w:rPr>
  </w:style>
  <w:style w:type="character" w:styleId="8">
    <w:name w:val="Hyperlink"/>
    <w:basedOn w:val="6"/>
    <w:qFormat/>
    <w:uiPriority w:val="0"/>
    <w:rPr>
      <w:color w:val="0000FF"/>
      <w:u w:val="single"/>
    </w:rPr>
  </w:style>
  <w:style w:type="character" w:customStyle="1" w:styleId="10">
    <w:name w:val="页眉 Char"/>
    <w:basedOn w:val="6"/>
    <w:link w:val="4"/>
    <w:qFormat/>
    <w:uiPriority w:val="0"/>
    <w:rPr>
      <w:rFonts w:ascii="Calibri" w:hAnsi="Calibri" w:eastAsia="宋体" w:cs="宋体"/>
      <w:kern w:val="2"/>
      <w:sz w:val="18"/>
      <w:szCs w:val="18"/>
    </w:rPr>
  </w:style>
  <w:style w:type="character" w:customStyle="1" w:styleId="11">
    <w:name w:val="页脚 Char"/>
    <w:basedOn w:val="6"/>
    <w:link w:val="3"/>
    <w:qFormat/>
    <w:uiPriority w:val="0"/>
    <w:rPr>
      <w:rFonts w:ascii="Calibri" w:hAnsi="Calibri" w:eastAsia="宋体" w:cs="宋体"/>
      <w:kern w:val="2"/>
      <w:sz w:val="18"/>
      <w:szCs w:val="18"/>
    </w:rPr>
  </w:style>
  <w:style w:type="character" w:customStyle="1" w:styleId="12">
    <w:name w:val="批注框文本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2255</Words>
  <Characters>2399</Characters>
  <Lines>0</Lines>
  <Paragraphs>91</Paragraphs>
  <ScaleCrop>false</ScaleCrop>
  <LinksUpToDate>false</LinksUpToDate>
  <CharactersWithSpaces>2462</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2022-01-25T01:35:00Z</dcterms:created>
  <dc:creator>李杰</dc:creator>
  <cp:lastModifiedBy>cr</cp:lastModifiedBy>
  <dcterms:modified xsi:type="dcterms:W3CDTF">2023-03-10T04:26:15Z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35032C31B97B4B6BA30F2F179276D796</vt:lpwstr>
  </property>
</Properties>
</file>