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浙江省专升本各类别所含专业对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照表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（2022版）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050209朝鲜语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630805跨境电子商务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660102网络新闻与传播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690202人力资源管理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1055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50DF"/>
    <w:rsid w:val="13BB1D68"/>
    <w:rsid w:val="1D3650DF"/>
    <w:rsid w:val="2617770E"/>
    <w:rsid w:val="43602581"/>
    <w:rsid w:val="52926A8D"/>
    <w:rsid w:val="62900933"/>
    <w:rsid w:val="677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2021-12-27T08:53:00Z</dcterms:created>
  <dc:creator>浙江省辐射环境监测站</dc:creator>
  <cp:lastModifiedBy>Administrator</cp:lastModifiedBy>
  <dcterms:modified xsi:type="dcterms:W3CDTF">2022-01-11T09:37:56Z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7A71241C96E24603857EDB9FA9C000C7</vt:lpwstr>
  </property>
</Properties>
</file>